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94" w:rsidRPr="00EC198C" w:rsidRDefault="00816D94" w:rsidP="00816D94">
      <w:pPr>
        <w:pStyle w:val="BodyText3"/>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508635</wp:posOffset>
                </wp:positionH>
                <wp:positionV relativeFrom="paragraph">
                  <wp:posOffset>5203190</wp:posOffset>
                </wp:positionV>
                <wp:extent cx="5943600" cy="4457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D94" w:rsidRDefault="00816D94" w:rsidP="00816D94">
                            <w:pPr>
                              <w:rPr>
                                <w:rFonts w:ascii="Arial" w:hAnsi="Arial"/>
                                <w:color w:val="006633"/>
                                <w:sz w:val="56"/>
                                <w:szCs w:val="56"/>
                              </w:rPr>
                            </w:pPr>
                            <w:r w:rsidRPr="00725BD6">
                              <w:rPr>
                                <w:rFonts w:ascii="Arial" w:hAnsi="Arial"/>
                                <w:color w:val="006633"/>
                                <w:sz w:val="56"/>
                                <w:szCs w:val="56"/>
                              </w:rPr>
                              <w:t>Accounting Qualification</w:t>
                            </w:r>
                          </w:p>
                          <w:p w:rsidR="00816D94" w:rsidRPr="00725BD6" w:rsidRDefault="00816D94" w:rsidP="00816D94">
                            <w:pPr>
                              <w:rPr>
                                <w:rFonts w:ascii="Arial" w:hAnsi="Arial"/>
                                <w:color w:val="006633"/>
                                <w:sz w:val="56"/>
                                <w:szCs w:val="56"/>
                              </w:rPr>
                            </w:pPr>
                          </w:p>
                          <w:p w:rsidR="00816D94" w:rsidRPr="00725BD6" w:rsidRDefault="00816D94" w:rsidP="00816D94">
                            <w:pPr>
                              <w:rPr>
                                <w:rFonts w:ascii="Arial" w:hAnsi="Arial"/>
                                <w:color w:val="006633"/>
                                <w:sz w:val="48"/>
                                <w:szCs w:val="48"/>
                              </w:rPr>
                            </w:pPr>
                            <w:r>
                              <w:rPr>
                                <w:rFonts w:ascii="Arial" w:hAnsi="Arial"/>
                                <w:color w:val="006633"/>
                                <w:sz w:val="48"/>
                                <w:szCs w:val="48"/>
                              </w:rPr>
                              <w:t>Business Tax</w:t>
                            </w:r>
                          </w:p>
                          <w:p w:rsidR="00816D94" w:rsidRPr="00B92500" w:rsidRDefault="00816D94" w:rsidP="00816D94">
                            <w:pPr>
                              <w:rPr>
                                <w:rFonts w:ascii="Arial" w:hAnsi="Arial"/>
                                <w:color w:val="006633"/>
                                <w:sz w:val="80"/>
                              </w:rPr>
                            </w:pPr>
                            <w:r>
                              <w:rPr>
                                <w:rFonts w:ascii="Arial" w:hAnsi="Arial"/>
                                <w:color w:val="006633"/>
                                <w:sz w:val="44"/>
                                <w:szCs w:val="44"/>
                              </w:rPr>
                              <w:t>Reference material</w:t>
                            </w:r>
                          </w:p>
                          <w:p w:rsidR="00816D94" w:rsidRPr="00B92500" w:rsidRDefault="00816D94" w:rsidP="00816D94">
                            <w:pPr>
                              <w:rPr>
                                <w:rFonts w:ascii="Arial" w:hAnsi="Arial"/>
                                <w:color w:val="006633"/>
                                <w:sz w:val="80"/>
                              </w:rPr>
                            </w:pPr>
                          </w:p>
                          <w:p w:rsidR="00816D94" w:rsidRDefault="00816D94" w:rsidP="00816D94">
                            <w:pPr>
                              <w:rPr>
                                <w:rFonts w:ascii="Arial" w:hAnsi="Arial"/>
                                <w:color w:val="006633"/>
                              </w:rPr>
                            </w:pPr>
                            <w:r>
                              <w:rPr>
                                <w:rFonts w:ascii="Arial" w:hAnsi="Arial"/>
                                <w:color w:val="006633"/>
                              </w:rPr>
                              <w:t xml:space="preserve">Finance Act 2016 – for assessments 1 January – 31 December 2017 </w:t>
                            </w:r>
                          </w:p>
                          <w:p w:rsidR="00816D94" w:rsidRPr="00E863EF" w:rsidRDefault="00816D94" w:rsidP="00816D94">
                            <w:pPr>
                              <w:rPr>
                                <w:rFonts w:ascii="Arial" w:hAnsi="Arial"/>
                                <w:color w:val="006633"/>
                              </w:rPr>
                            </w:pPr>
                          </w:p>
                          <w:p w:rsidR="00816D94" w:rsidRPr="00B951C2" w:rsidRDefault="00816D94" w:rsidP="00816D94">
                            <w:pPr>
                              <w:rPr>
                                <w:rFonts w:ascii="Arial" w:hAnsi="Arial"/>
                                <w:color w:val="006633"/>
                              </w:rPr>
                            </w:pPr>
                          </w:p>
                          <w:p w:rsidR="00816D94" w:rsidRPr="00B951C2" w:rsidRDefault="00816D94" w:rsidP="00816D94">
                            <w:pPr>
                              <w:rPr>
                                <w:rFonts w:ascii="Arial" w:hAnsi="Arial"/>
                                <w:color w:val="006633"/>
                              </w:rPr>
                            </w:pPr>
                          </w:p>
                          <w:p w:rsidR="00816D94" w:rsidRDefault="00816D94" w:rsidP="00816D94">
                            <w:pPr>
                              <w:rPr>
                                <w:rFonts w:ascii="Arial" w:hAnsi="Arial"/>
                                <w:color w:val="006633"/>
                              </w:rPr>
                            </w:pPr>
                            <w:r w:rsidRPr="0027384D">
                              <w:rPr>
                                <w:rFonts w:ascii="Arial" w:hAnsi="Arial"/>
                                <w:color w:val="006633"/>
                              </w:rPr>
                              <w:t>The Association of Accounting Technicians</w:t>
                            </w:r>
                          </w:p>
                          <w:p w:rsidR="00816D94" w:rsidRPr="0027384D" w:rsidRDefault="00816D94" w:rsidP="00816D94">
                            <w:pPr>
                              <w:rPr>
                                <w:rFonts w:ascii="Arial" w:hAnsi="Arial"/>
                                <w:color w:val="006633"/>
                              </w:rPr>
                            </w:pPr>
                          </w:p>
                          <w:p w:rsidR="00816D94" w:rsidRPr="00A90017" w:rsidRDefault="00816D94" w:rsidP="00816D94">
                            <w:pPr>
                              <w:rPr>
                                <w:rFonts w:ascii="Arial" w:hAnsi="Arial"/>
                                <w:color w:val="0066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0.05pt;margin-top:409.7pt;width:468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" filled="f" stroked="f">
                <v:textbox>
                  <w:txbxContent>
                    <w:p w:rsidR="00816D94" w:rsidRDefault="00816D94" w:rsidP="00816D94">
                      <w:pPr>
                        <w:rPr>
                          <w:rFonts w:ascii="Arial" w:hAnsi="Arial"/>
                          <w:color w:val="006633"/>
                          <w:sz w:val="56"/>
                          <w:szCs w:val="56"/>
                        </w:rPr>
                      </w:pPr>
                      <w:r w:rsidRPr="00725BD6">
                        <w:rPr>
                          <w:rFonts w:ascii="Arial" w:hAnsi="Arial"/>
                          <w:color w:val="006633"/>
                          <w:sz w:val="56"/>
                          <w:szCs w:val="56"/>
                        </w:rPr>
                        <w:t>Accounting Qualification</w:t>
                      </w:r>
                    </w:p>
                    <w:p w:rsidR="00816D94" w:rsidRPr="00725BD6" w:rsidRDefault="00816D94" w:rsidP="00816D94">
                      <w:pPr>
                        <w:rPr>
                          <w:rFonts w:ascii="Arial" w:hAnsi="Arial"/>
                          <w:color w:val="006633"/>
                          <w:sz w:val="56"/>
                          <w:szCs w:val="56"/>
                        </w:rPr>
                      </w:pPr>
                    </w:p>
                    <w:p w:rsidR="00816D94" w:rsidRPr="00725BD6" w:rsidRDefault="00816D94" w:rsidP="00816D94">
                      <w:pPr>
                        <w:rPr>
                          <w:rFonts w:ascii="Arial" w:hAnsi="Arial"/>
                          <w:color w:val="006633"/>
                          <w:sz w:val="48"/>
                          <w:szCs w:val="48"/>
                        </w:rPr>
                      </w:pPr>
                      <w:r>
                        <w:rPr>
                          <w:rFonts w:ascii="Arial" w:hAnsi="Arial"/>
                          <w:color w:val="006633"/>
                          <w:sz w:val="48"/>
                          <w:szCs w:val="48"/>
                        </w:rPr>
                        <w:t>Business Tax</w:t>
                      </w:r>
                    </w:p>
                    <w:p w:rsidR="00816D94" w:rsidRPr="00B92500" w:rsidRDefault="00816D94" w:rsidP="00816D94">
                      <w:pPr>
                        <w:rPr>
                          <w:rFonts w:ascii="Arial" w:hAnsi="Arial"/>
                          <w:color w:val="006633"/>
                          <w:sz w:val="80"/>
                        </w:rPr>
                      </w:pPr>
                      <w:r>
                        <w:rPr>
                          <w:rFonts w:ascii="Arial" w:hAnsi="Arial"/>
                          <w:color w:val="006633"/>
                          <w:sz w:val="44"/>
                          <w:szCs w:val="44"/>
                        </w:rPr>
                        <w:t>Reference material</w:t>
                      </w:r>
                    </w:p>
                    <w:p w:rsidR="00816D94" w:rsidRPr="00B92500" w:rsidRDefault="00816D94" w:rsidP="00816D94">
                      <w:pPr>
                        <w:rPr>
                          <w:rFonts w:ascii="Arial" w:hAnsi="Arial"/>
                          <w:color w:val="006633"/>
                          <w:sz w:val="80"/>
                        </w:rPr>
                      </w:pPr>
                    </w:p>
                    <w:p w:rsidR="00816D94" w:rsidRDefault="00816D94" w:rsidP="00816D94">
                      <w:pPr>
                        <w:rPr>
                          <w:rFonts w:ascii="Arial" w:hAnsi="Arial"/>
                          <w:color w:val="006633"/>
                        </w:rPr>
                      </w:pPr>
                      <w:r>
                        <w:rPr>
                          <w:rFonts w:ascii="Arial" w:hAnsi="Arial"/>
                          <w:color w:val="006633"/>
                        </w:rPr>
                        <w:t xml:space="preserve">Finance Act 2016 – for assessments 1 January – 31 December 2017 </w:t>
                      </w:r>
                    </w:p>
                    <w:p w:rsidR="00816D94" w:rsidRPr="00E863EF" w:rsidRDefault="00816D94" w:rsidP="00816D94">
                      <w:pPr>
                        <w:rPr>
                          <w:rFonts w:ascii="Arial" w:hAnsi="Arial"/>
                          <w:color w:val="006633"/>
                        </w:rPr>
                      </w:pPr>
                    </w:p>
                    <w:p w:rsidR="00816D94" w:rsidRPr="00B951C2" w:rsidRDefault="00816D94" w:rsidP="00816D94">
                      <w:pPr>
                        <w:rPr>
                          <w:rFonts w:ascii="Arial" w:hAnsi="Arial"/>
                          <w:color w:val="006633"/>
                        </w:rPr>
                      </w:pPr>
                    </w:p>
                    <w:p w:rsidR="00816D94" w:rsidRPr="00B951C2" w:rsidRDefault="00816D94" w:rsidP="00816D94">
                      <w:pPr>
                        <w:rPr>
                          <w:rFonts w:ascii="Arial" w:hAnsi="Arial"/>
                          <w:color w:val="006633"/>
                        </w:rPr>
                      </w:pPr>
                    </w:p>
                    <w:p w:rsidR="00816D94" w:rsidRDefault="00816D94" w:rsidP="00816D94">
                      <w:pPr>
                        <w:rPr>
                          <w:rFonts w:ascii="Arial" w:hAnsi="Arial"/>
                          <w:color w:val="006633"/>
                        </w:rPr>
                      </w:pPr>
                      <w:r w:rsidRPr="0027384D">
                        <w:rPr>
                          <w:rFonts w:ascii="Arial" w:hAnsi="Arial"/>
                          <w:color w:val="006633"/>
                        </w:rPr>
                        <w:t>The Association of Accounting Technicians</w:t>
                      </w:r>
                    </w:p>
                    <w:p w:rsidR="00816D94" w:rsidRPr="0027384D" w:rsidRDefault="00816D94" w:rsidP="00816D94">
                      <w:pPr>
                        <w:rPr>
                          <w:rFonts w:ascii="Arial" w:hAnsi="Arial"/>
                          <w:color w:val="006633"/>
                        </w:rPr>
                      </w:pPr>
                    </w:p>
                    <w:p w:rsidR="00816D94" w:rsidRPr="00A90017" w:rsidRDefault="00816D94" w:rsidP="00816D94">
                      <w:pPr>
                        <w:rPr>
                          <w:rFonts w:ascii="Arial" w:hAnsi="Arial"/>
                          <w:color w:val="006633"/>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5537835</wp:posOffset>
                </wp:positionH>
                <wp:positionV relativeFrom="paragraph">
                  <wp:posOffset>3468370</wp:posOffset>
                </wp:positionV>
                <wp:extent cx="1351915" cy="7632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D94" w:rsidRDefault="00816D94" w:rsidP="00816D94">
                            <w:r>
                              <w:rPr>
                                <w:noProof/>
                                <w:lang w:eastAsia="en-GB"/>
                              </w:rPr>
                              <w:drawing>
                                <wp:inline distT="0" distB="0" distL="0" distR="0" wp14:anchorId="7D0990EC" wp14:editId="7309AA43">
                                  <wp:extent cx="1171575" cy="676275"/>
                                  <wp:effectExtent l="0" t="0" r="9525" b="9525"/>
                                  <wp:docPr id="7" name="Picture 7"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36.05pt;margin-top:273.1pt;width:106.45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AZug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" filled="f" stroked="f">
                <v:textbox>
                  <w:txbxContent>
                    <w:p w:rsidR="00816D94" w:rsidRDefault="00816D94" w:rsidP="00816D94">
                      <w:r>
                        <w:rPr>
                          <w:noProof/>
                          <w:lang w:eastAsia="en-GB"/>
                        </w:rPr>
                        <w:drawing>
                          <wp:inline distT="0" distB="0" distL="0" distR="0" wp14:anchorId="7D0990EC" wp14:editId="7309AA43">
                            <wp:extent cx="1171575" cy="676275"/>
                            <wp:effectExtent l="0" t="0" r="9525" b="9525"/>
                            <wp:docPr id="7" name="Picture 7"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0528" behindDoc="1" locked="0" layoutInCell="1" allowOverlap="1">
                <wp:simplePos x="0" y="0"/>
                <wp:positionH relativeFrom="column">
                  <wp:posOffset>360045</wp:posOffset>
                </wp:positionH>
                <wp:positionV relativeFrom="paragraph">
                  <wp:posOffset>360045</wp:posOffset>
                </wp:positionV>
                <wp:extent cx="6840220" cy="4140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140200"/>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35pt;margin-top:28.35pt;width:538.6pt;height:3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" fillcolor="#393" stroked="f"/>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-177165</wp:posOffset>
                </wp:positionH>
                <wp:positionV relativeFrom="paragraph">
                  <wp:posOffset>1259840</wp:posOffset>
                </wp:positionV>
                <wp:extent cx="914400" cy="3429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95pt;margin-top:99.2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" stroked="f"/>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-177165</wp:posOffset>
                </wp:positionH>
                <wp:positionV relativeFrom="paragraph">
                  <wp:posOffset>720090</wp:posOffset>
                </wp:positionV>
                <wp:extent cx="9144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95pt;margin-top:56.7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" stroked="f"/>
            </w:pict>
          </mc:Fallback>
        </mc:AlternateContent>
      </w:r>
    </w:p>
    <w:p w:rsidR="00816D94" w:rsidRPr="00EC198C" w:rsidRDefault="00816D94" w:rsidP="00816D94">
      <w:pPr>
        <w:pStyle w:val="BodyText3"/>
        <w:rPr>
          <w:szCs w:val="28"/>
        </w:rPr>
        <w:sectPr w:rsidR="00816D94" w:rsidRPr="00EC198C" w:rsidSect="00816D94">
          <w:footerReference w:type="default" r:id="rId10"/>
          <w:pgSz w:w="11906" w:h="16838" w:code="9"/>
          <w:pgMar w:top="0" w:right="566" w:bottom="0" w:left="0" w:header="709" w:footer="709" w:gutter="0"/>
          <w:pgNumType w:start="2"/>
          <w:cols w:space="708"/>
          <w:docGrid w:linePitch="360"/>
        </w:sectPr>
      </w:pPr>
    </w:p>
    <w:p w:rsidR="00816D94" w:rsidRPr="005651FB" w:rsidRDefault="00816D94" w:rsidP="00816D94">
      <w:pPr>
        <w:pStyle w:val="BodyText3"/>
        <w:rPr>
          <w:b/>
          <w:sz w:val="24"/>
        </w:rPr>
      </w:pPr>
      <w:r w:rsidRPr="005651FB">
        <w:rPr>
          <w:b/>
          <w:sz w:val="24"/>
        </w:rPr>
        <w:t xml:space="preserve">Reference material for AAT assessment of Business Tax </w:t>
      </w:r>
    </w:p>
    <w:p w:rsidR="00816D94" w:rsidRPr="00816D94" w:rsidRDefault="00816D94" w:rsidP="00816D94">
      <w:pPr>
        <w:pStyle w:val="BodyText3"/>
        <w:rPr>
          <w:b/>
          <w:sz w:val="20"/>
          <w:szCs w:val="20"/>
        </w:rPr>
      </w:pPr>
    </w:p>
    <w:p w:rsidR="00816D94" w:rsidRPr="00816D94" w:rsidRDefault="00816D94" w:rsidP="00816D94">
      <w:pPr>
        <w:pStyle w:val="BodyText3"/>
        <w:rPr>
          <w:sz w:val="20"/>
          <w:szCs w:val="20"/>
          <w:lang w:val="en-US"/>
        </w:rPr>
      </w:pPr>
      <w:r w:rsidRPr="00816D94">
        <w:rPr>
          <w:b/>
          <w:sz w:val="20"/>
          <w:szCs w:val="20"/>
          <w:lang w:val="en-US"/>
        </w:rPr>
        <w:t>Introduction</w:t>
      </w:r>
    </w:p>
    <w:p w:rsidR="00816D94" w:rsidRPr="00816D94" w:rsidRDefault="00816D94" w:rsidP="00816D94">
      <w:pPr>
        <w:pStyle w:val="BodyText3"/>
        <w:rPr>
          <w:sz w:val="20"/>
          <w:szCs w:val="20"/>
          <w:lang w:val="en-US"/>
        </w:rPr>
      </w:pPr>
      <w:r w:rsidRPr="00816D94">
        <w:rPr>
          <w:sz w:val="20"/>
          <w:szCs w:val="20"/>
          <w:lang w:val="en-US"/>
        </w:rPr>
        <w:t xml:space="preserve">This document comprises data that you may need to consult during your Business Tax computer-based assessment. The material can be consulted during the sample and live assessments through pop-up windows. It is made available here so you can </w:t>
      </w:r>
      <w:r w:rsidRPr="00816D94">
        <w:rPr>
          <w:sz w:val="20"/>
          <w:szCs w:val="20"/>
        </w:rPr>
        <w:t>familiarise</w:t>
      </w:r>
      <w:r w:rsidRPr="00816D94">
        <w:rPr>
          <w:sz w:val="20"/>
          <w:szCs w:val="20"/>
          <w:lang w:val="en-US"/>
        </w:rPr>
        <w:t xml:space="preserve"> yourself with the content before the test. </w:t>
      </w:r>
    </w:p>
    <w:p w:rsidR="00816D94" w:rsidRPr="00816D94" w:rsidRDefault="00816D94" w:rsidP="00816D94">
      <w:pPr>
        <w:pStyle w:val="BodyText3"/>
        <w:rPr>
          <w:sz w:val="20"/>
          <w:szCs w:val="20"/>
          <w:lang w:val="en-US"/>
        </w:rPr>
      </w:pPr>
    </w:p>
    <w:p w:rsidR="00816D94" w:rsidRPr="00816D94" w:rsidRDefault="00816D94" w:rsidP="00816D94">
      <w:pPr>
        <w:pStyle w:val="BodyText3"/>
        <w:rPr>
          <w:sz w:val="20"/>
          <w:szCs w:val="20"/>
          <w:lang w:val="en-US"/>
        </w:rPr>
      </w:pPr>
      <w:r w:rsidRPr="00816D94">
        <w:rPr>
          <w:sz w:val="20"/>
          <w:szCs w:val="20"/>
          <w:lang w:val="en-US"/>
        </w:rPr>
        <w:t>Do not take a print of this document into the exam room with you. Unless you need a printed version as part of reasonable adjustments for particular needs, in which case you must discuss this with your tutor at least six weeks before the assessment date.</w:t>
      </w:r>
    </w:p>
    <w:p w:rsidR="00816D94" w:rsidRPr="00816D94" w:rsidRDefault="00816D94" w:rsidP="00816D94">
      <w:pPr>
        <w:pStyle w:val="BodyText3"/>
        <w:rPr>
          <w:sz w:val="20"/>
          <w:szCs w:val="20"/>
          <w:lang w:val="en-US"/>
        </w:rPr>
      </w:pPr>
    </w:p>
    <w:p w:rsidR="00816D94" w:rsidRPr="00816D94" w:rsidRDefault="00816D94" w:rsidP="00816D94">
      <w:pPr>
        <w:pStyle w:val="BodyText3"/>
        <w:rPr>
          <w:sz w:val="20"/>
          <w:szCs w:val="20"/>
          <w:lang w:val="en-US"/>
        </w:rPr>
      </w:pPr>
      <w:r w:rsidRPr="00816D94">
        <w:rPr>
          <w:sz w:val="20"/>
          <w:szCs w:val="20"/>
          <w:lang w:val="en-US"/>
        </w:rPr>
        <w:t>This document may be changed to reflect periodical updates in the computer-based assessment, so please check you have the most recent version while studying. This version is based on Finance Act 2016 and is for use in AAT assessments 1 January – 31 December 2017.</w:t>
      </w:r>
    </w:p>
    <w:p w:rsidR="00816D94" w:rsidRPr="00816D94" w:rsidRDefault="00816D94" w:rsidP="00816D94">
      <w:pPr>
        <w:pStyle w:val="BodyText3"/>
        <w:rPr>
          <w:sz w:val="20"/>
          <w:szCs w:val="20"/>
          <w:lang w:val="en-US"/>
        </w:rPr>
      </w:pPr>
    </w:p>
    <w:tbl>
      <w:tblPr>
        <w:tblW w:w="0" w:type="auto"/>
        <w:tblLook w:val="01E0" w:firstRow="1" w:lastRow="1" w:firstColumn="1" w:lastColumn="1" w:noHBand="0" w:noVBand="0"/>
      </w:tblPr>
      <w:tblGrid>
        <w:gridCol w:w="4927"/>
        <w:gridCol w:w="742"/>
      </w:tblGrid>
      <w:tr w:rsidR="00816D94" w:rsidRPr="00816D94" w:rsidTr="00816D94">
        <w:trPr>
          <w:trHeight w:hRule="exact" w:val="340"/>
        </w:trPr>
        <w:tc>
          <w:tcPr>
            <w:tcW w:w="4927" w:type="dxa"/>
            <w:shd w:val="clear" w:color="auto" w:fill="auto"/>
            <w:vAlign w:val="center"/>
          </w:tcPr>
          <w:p w:rsidR="00816D94" w:rsidRPr="00816D94" w:rsidRDefault="00816D94" w:rsidP="00816D94">
            <w:pPr>
              <w:pStyle w:val="BodyText3"/>
              <w:rPr>
                <w:b/>
                <w:sz w:val="20"/>
                <w:szCs w:val="20"/>
              </w:rPr>
            </w:pPr>
            <w:r w:rsidRPr="00816D94">
              <w:rPr>
                <w:b/>
                <w:sz w:val="20"/>
                <w:szCs w:val="20"/>
              </w:rPr>
              <w:t>Contents</w:t>
            </w:r>
          </w:p>
        </w:tc>
        <w:tc>
          <w:tcPr>
            <w:tcW w:w="742" w:type="dxa"/>
            <w:shd w:val="clear" w:color="auto" w:fill="auto"/>
            <w:vAlign w:val="center"/>
          </w:tcPr>
          <w:p w:rsidR="00816D94" w:rsidRPr="00816D94" w:rsidRDefault="00816D94" w:rsidP="00816D94">
            <w:pPr>
              <w:pStyle w:val="BodyText3"/>
              <w:rPr>
                <w:b/>
                <w:sz w:val="20"/>
                <w:szCs w:val="20"/>
              </w:rPr>
            </w:pPr>
            <w:r w:rsidRPr="00816D94">
              <w:rPr>
                <w:b/>
                <w:sz w:val="20"/>
                <w:szCs w:val="20"/>
              </w:rPr>
              <w:t>Page</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Taxation tables for business tax – 2016/17</w:t>
            </w:r>
          </w:p>
          <w:p w:rsidR="00816D94" w:rsidRPr="00816D94" w:rsidRDefault="00816D94" w:rsidP="00095857">
            <w:pPr>
              <w:pStyle w:val="BodyText3"/>
              <w:rPr>
                <w:sz w:val="20"/>
                <w:szCs w:val="20"/>
              </w:rPr>
            </w:pP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Introduction to business tax</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Adjustment of profits – sole</w:t>
            </w:r>
            <w:r w:rsidR="00095857">
              <w:rPr>
                <w:sz w:val="20"/>
                <w:szCs w:val="20"/>
              </w:rPr>
              <w:t xml:space="preserve"> </w:t>
            </w:r>
            <w:r w:rsidRPr="00816D94">
              <w:rPr>
                <w:sz w:val="20"/>
                <w:szCs w:val="20"/>
              </w:rPr>
              <w:t>traders, partnerships and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Unincorporated businesses – trading income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Sole-traders – basis periods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7</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Sole-traders – change of accounting date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8</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Capital allowances on plant and machinery</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9</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Partnerships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10</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Trading losses for sole</w:t>
            </w:r>
            <w:r w:rsidR="00095857">
              <w:rPr>
                <w:sz w:val="20"/>
                <w:szCs w:val="20"/>
              </w:rPr>
              <w:t xml:space="preserve"> </w:t>
            </w:r>
            <w:r w:rsidRPr="00816D94">
              <w:rPr>
                <w:sz w:val="20"/>
                <w:szCs w:val="20"/>
              </w:rPr>
              <w:t>traders and partners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11</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 xml:space="preserve">Payment and administration </w:t>
            </w:r>
            <w:r w:rsidR="00095857">
              <w:rPr>
                <w:sz w:val="20"/>
                <w:szCs w:val="20"/>
              </w:rPr>
              <w:t>–</w:t>
            </w:r>
            <w:r w:rsidRPr="00816D94">
              <w:rPr>
                <w:sz w:val="20"/>
                <w:szCs w:val="20"/>
              </w:rPr>
              <w:t xml:space="preserve"> sole</w:t>
            </w:r>
            <w:r w:rsidR="00095857">
              <w:rPr>
                <w:sz w:val="20"/>
                <w:szCs w:val="20"/>
              </w:rPr>
              <w:t xml:space="preserve"> </w:t>
            </w:r>
            <w:r w:rsidRPr="00816D94">
              <w:rPr>
                <w:sz w:val="20"/>
                <w:szCs w:val="20"/>
              </w:rPr>
              <w:t>traders and partners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12</w:t>
            </w:r>
          </w:p>
        </w:tc>
      </w:tr>
      <w:tr w:rsidR="00095857"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095857" w:rsidRPr="00816D94" w:rsidRDefault="00095857" w:rsidP="00095857">
            <w:pPr>
              <w:pStyle w:val="BodyText3"/>
              <w:rPr>
                <w:sz w:val="20"/>
                <w:szCs w:val="20"/>
              </w:rPr>
            </w:pPr>
            <w:r>
              <w:rPr>
                <w:sz w:val="20"/>
                <w:szCs w:val="20"/>
              </w:rPr>
              <w:t>Enquiries and other penalties</w:t>
            </w:r>
          </w:p>
        </w:tc>
        <w:tc>
          <w:tcPr>
            <w:tcW w:w="742" w:type="dxa"/>
            <w:shd w:val="clear" w:color="auto" w:fill="auto"/>
            <w:vAlign w:val="center"/>
          </w:tcPr>
          <w:p w:rsidR="00095857" w:rsidRPr="00816D94" w:rsidRDefault="00095857" w:rsidP="00816D94">
            <w:pPr>
              <w:pStyle w:val="BodyText3"/>
              <w:rPr>
                <w:sz w:val="20"/>
                <w:szCs w:val="20"/>
              </w:rPr>
            </w:pPr>
            <w:r>
              <w:rPr>
                <w:sz w:val="20"/>
                <w:szCs w:val="20"/>
              </w:rPr>
              <w:t>13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 xml:space="preserve">National Insurance </w:t>
            </w:r>
            <w:r w:rsidR="00095857">
              <w:rPr>
                <w:sz w:val="20"/>
                <w:szCs w:val="20"/>
              </w:rPr>
              <w:t>c</w:t>
            </w:r>
            <w:r w:rsidRPr="00816D94">
              <w:rPr>
                <w:sz w:val="20"/>
                <w:szCs w:val="20"/>
              </w:rPr>
              <w:t>ontributions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An outline of corporation tax</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4927" w:type="dxa"/>
            <w:shd w:val="clear" w:color="auto" w:fill="auto"/>
            <w:vAlign w:val="center"/>
          </w:tcPr>
          <w:p w:rsidR="00816D94" w:rsidRPr="00816D94" w:rsidRDefault="00816D94" w:rsidP="00095857">
            <w:pPr>
              <w:rPr>
                <w:rFonts w:ascii="Arial" w:hAnsi="Arial" w:cs="Arial"/>
                <w:sz w:val="20"/>
                <w:szCs w:val="20"/>
              </w:rPr>
            </w:pPr>
            <w:r w:rsidRPr="00816D94">
              <w:rPr>
                <w:rFonts w:ascii="Arial" w:hAnsi="Arial" w:cs="Arial"/>
                <w:sz w:val="20"/>
                <w:szCs w:val="20"/>
              </w:rPr>
              <w:t>The calculation of total profits and corporation tax payable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Corporation tax - losses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17</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Corporation tax – payment and administration</w:t>
            </w:r>
          </w:p>
        </w:tc>
        <w:tc>
          <w:tcPr>
            <w:tcW w:w="742" w:type="dxa"/>
            <w:shd w:val="clear" w:color="auto" w:fill="auto"/>
            <w:vAlign w:val="center"/>
          </w:tcPr>
          <w:p w:rsidR="00816D94" w:rsidRPr="00816D94" w:rsidRDefault="00816D94" w:rsidP="00095857">
            <w:pPr>
              <w:pStyle w:val="BodyText3"/>
              <w:rPr>
                <w:sz w:val="20"/>
                <w:szCs w:val="20"/>
              </w:rPr>
            </w:pPr>
            <w:r w:rsidRPr="00816D94">
              <w:rPr>
                <w:sz w:val="20"/>
                <w:szCs w:val="20"/>
              </w:rPr>
              <w:t>18</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ListParagraph"/>
              <w:spacing w:after="200" w:line="276" w:lineRule="auto"/>
              <w:ind w:left="0"/>
            </w:pPr>
            <w:r w:rsidRPr="00816D94">
              <w:rPr>
                <w:rFonts w:cs="Arial"/>
              </w:rPr>
              <w:t>Current tax reliefs and other tax issues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19</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rFonts w:ascii="Arial" w:hAnsi="Arial" w:cs="Arial"/>
                <w:sz w:val="20"/>
                <w:szCs w:val="20"/>
              </w:rPr>
            </w:pPr>
            <w:r w:rsidRPr="00816D94">
              <w:rPr>
                <w:rFonts w:ascii="Arial" w:hAnsi="Arial" w:cs="Arial"/>
                <w:sz w:val="20"/>
                <w:szCs w:val="20"/>
              </w:rPr>
              <w:t>Introduction to chargeable gains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20</w:t>
            </w:r>
          </w:p>
        </w:tc>
        <w:bookmarkStart w:id="0" w:name="_GoBack"/>
        <w:bookmarkEnd w:id="0"/>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Calculation of gains and losses for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21</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Shares and securities – disposals by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22</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Chargeable gains – reliefs available to individuals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23</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Calculation of gains and losses for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24</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pStyle w:val="BodyText3"/>
              <w:rPr>
                <w:sz w:val="20"/>
                <w:szCs w:val="20"/>
              </w:rPr>
            </w:pPr>
            <w:r w:rsidRPr="00816D94">
              <w:rPr>
                <w:sz w:val="20"/>
                <w:szCs w:val="20"/>
              </w:rPr>
              <w:t>Shares and securities – disposals by companies</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25</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The badges of trade</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26</w:t>
            </w:r>
          </w:p>
        </w:tc>
      </w:tr>
      <w:tr w:rsidR="00816D94" w:rsidRPr="00816D94" w:rsidTr="0009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rsidR="00816D94" w:rsidRPr="00816D94" w:rsidRDefault="00816D94" w:rsidP="00095857">
            <w:pPr>
              <w:rPr>
                <w:sz w:val="20"/>
                <w:szCs w:val="20"/>
              </w:rPr>
            </w:pPr>
            <w:r w:rsidRPr="00816D94">
              <w:rPr>
                <w:rFonts w:ascii="Arial" w:hAnsi="Arial" w:cs="Arial"/>
                <w:sz w:val="20"/>
                <w:szCs w:val="20"/>
              </w:rPr>
              <w:t>Duties and responsibilities of a tax adviser</w:t>
            </w:r>
          </w:p>
        </w:tc>
        <w:tc>
          <w:tcPr>
            <w:tcW w:w="742" w:type="dxa"/>
            <w:shd w:val="clear" w:color="auto" w:fill="auto"/>
            <w:vAlign w:val="center"/>
          </w:tcPr>
          <w:p w:rsidR="00816D94" w:rsidRPr="00816D94" w:rsidRDefault="00816D94" w:rsidP="00816D94">
            <w:pPr>
              <w:pStyle w:val="BodyText3"/>
              <w:rPr>
                <w:sz w:val="20"/>
                <w:szCs w:val="20"/>
              </w:rPr>
            </w:pPr>
            <w:r w:rsidRPr="00816D94">
              <w:rPr>
                <w:sz w:val="20"/>
                <w:szCs w:val="20"/>
              </w:rPr>
              <w:t>27</w:t>
            </w:r>
          </w:p>
        </w:tc>
      </w:tr>
    </w:tbl>
    <w:p w:rsidR="00816D94" w:rsidRDefault="00816D94">
      <w:pPr>
        <w:rPr>
          <w:rFonts w:ascii="Arial" w:hAnsi="Arial" w:cs="Arial"/>
          <w:b/>
        </w:rPr>
      </w:pPr>
      <w:r>
        <w:rPr>
          <w:rFonts w:ascii="Arial" w:hAnsi="Arial" w:cs="Arial"/>
          <w:b/>
        </w:rPr>
        <w:br w:type="page"/>
      </w:r>
    </w:p>
    <w:p w:rsidR="00F35207" w:rsidRPr="002A496D" w:rsidRDefault="00F35207" w:rsidP="004B5E56">
      <w:pPr>
        <w:spacing w:line="276" w:lineRule="auto"/>
        <w:jc w:val="both"/>
        <w:rPr>
          <w:rFonts w:ascii="Arial" w:hAnsi="Arial" w:cs="Arial"/>
          <w:b/>
        </w:rPr>
      </w:pPr>
      <w:r w:rsidRPr="002A496D">
        <w:rPr>
          <w:rFonts w:ascii="Arial" w:hAnsi="Arial" w:cs="Arial"/>
          <w:b/>
        </w:rPr>
        <w:t>Taxation tables for business tax – 2016/17</w:t>
      </w:r>
    </w:p>
    <w:p w:rsidR="00F35207" w:rsidRPr="00F35207" w:rsidRDefault="00F35207" w:rsidP="004B5E56">
      <w:pPr>
        <w:spacing w:line="276" w:lineRule="auto"/>
        <w:jc w:val="both"/>
        <w:rPr>
          <w:rFonts w:ascii="Arial" w:hAnsi="Arial" w:cs="Arial"/>
          <w:b/>
          <w:sz w:val="20"/>
          <w:szCs w:val="20"/>
        </w:rPr>
      </w:pPr>
    </w:p>
    <w:p w:rsidR="00F35207" w:rsidRPr="00F35207" w:rsidRDefault="00F35207" w:rsidP="004B5E56">
      <w:pPr>
        <w:spacing w:line="276" w:lineRule="auto"/>
        <w:jc w:val="both"/>
        <w:rPr>
          <w:rFonts w:ascii="Arial" w:hAnsi="Arial" w:cs="Arial"/>
          <w:b/>
          <w:bCs/>
          <w:sz w:val="20"/>
          <w:szCs w:val="20"/>
        </w:rPr>
      </w:pPr>
      <w:r w:rsidRPr="00F35207">
        <w:rPr>
          <w:rFonts w:ascii="Arial" w:hAnsi="Arial" w:cs="Arial"/>
          <w:b/>
          <w:bCs/>
          <w:sz w:val="20"/>
          <w:szCs w:val="20"/>
        </w:rPr>
        <w:t>Capital allowances</w:t>
      </w:r>
    </w:p>
    <w:p w:rsidR="00F35207" w:rsidRPr="00F35207" w:rsidRDefault="00F35207" w:rsidP="004B5E56">
      <w:pPr>
        <w:tabs>
          <w:tab w:val="right" w:pos="6237"/>
        </w:tabs>
        <w:spacing w:line="276" w:lineRule="auto"/>
        <w:rPr>
          <w:rFonts w:ascii="Arial" w:hAnsi="Arial" w:cs="Arial"/>
          <w:sz w:val="20"/>
          <w:szCs w:val="20"/>
        </w:rPr>
      </w:pPr>
    </w:p>
    <w:p w:rsidR="00F35207" w:rsidRPr="00F35207" w:rsidRDefault="00F35207" w:rsidP="004B5E56">
      <w:pPr>
        <w:tabs>
          <w:tab w:val="right" w:pos="7020"/>
        </w:tabs>
        <w:spacing w:line="276" w:lineRule="auto"/>
        <w:rPr>
          <w:rFonts w:ascii="Arial" w:hAnsi="Arial" w:cs="Arial"/>
          <w:sz w:val="20"/>
          <w:szCs w:val="20"/>
        </w:rPr>
      </w:pPr>
      <w:r w:rsidRPr="00F35207">
        <w:rPr>
          <w:rFonts w:ascii="Arial" w:hAnsi="Arial" w:cs="Arial"/>
          <w:sz w:val="20"/>
          <w:szCs w:val="20"/>
        </w:rPr>
        <w:t>Annual investment allowance</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From 1 / 6 April 2014</w:t>
      </w:r>
      <w:r w:rsidRPr="00F35207">
        <w:rPr>
          <w:rFonts w:ascii="Arial" w:hAnsi="Arial" w:cs="Arial"/>
          <w:sz w:val="20"/>
          <w:szCs w:val="20"/>
        </w:rPr>
        <w:tab/>
        <w:t>£500,000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From 1 January 2016</w:t>
      </w:r>
      <w:r w:rsidRPr="00F35207">
        <w:rPr>
          <w:rFonts w:ascii="Arial" w:hAnsi="Arial" w:cs="Arial"/>
          <w:sz w:val="20"/>
          <w:szCs w:val="20"/>
        </w:rPr>
        <w:tab/>
        <w:t>£200,000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right" w:pos="7020"/>
        </w:tabs>
        <w:spacing w:line="276" w:lineRule="auto"/>
        <w:rPr>
          <w:rFonts w:ascii="Arial" w:hAnsi="Arial" w:cs="Arial"/>
          <w:sz w:val="20"/>
          <w:szCs w:val="20"/>
        </w:rPr>
      </w:pPr>
      <w:r w:rsidRPr="00F35207">
        <w:rPr>
          <w:rFonts w:ascii="Arial" w:hAnsi="Arial" w:cs="Arial"/>
          <w:sz w:val="20"/>
          <w:szCs w:val="20"/>
        </w:rPr>
        <w:t>Plant and machinery writing down allowance</w:t>
      </w:r>
      <w:r w:rsidRPr="00F35207">
        <w:rPr>
          <w:rFonts w:ascii="Arial" w:hAnsi="Arial" w:cs="Arial"/>
          <w:sz w:val="20"/>
          <w:szCs w:val="20"/>
        </w:rPr>
        <w:tab/>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Long life assets and integral features</w:t>
      </w:r>
      <w:r w:rsidRPr="00F35207">
        <w:rPr>
          <w:rFonts w:ascii="Arial" w:hAnsi="Arial" w:cs="Arial"/>
          <w:sz w:val="20"/>
          <w:szCs w:val="20"/>
        </w:rPr>
        <w:tab/>
        <w:t>8%</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Other assets</w:t>
      </w:r>
      <w:r w:rsidRPr="00F35207">
        <w:rPr>
          <w:rFonts w:ascii="Arial" w:hAnsi="Arial" w:cs="Arial"/>
          <w:sz w:val="20"/>
          <w:szCs w:val="20"/>
        </w:rPr>
        <w:tab/>
        <w:t>18%</w:t>
      </w:r>
      <w:r w:rsidRPr="00F35207">
        <w:rPr>
          <w:rFonts w:ascii="Arial" w:hAnsi="Arial" w:cs="Arial"/>
          <w:sz w:val="20"/>
          <w:szCs w:val="20"/>
        </w:rPr>
        <w:tab/>
      </w:r>
    </w:p>
    <w:p w:rsidR="00F35207" w:rsidRPr="00F35207" w:rsidRDefault="00F35207" w:rsidP="004B5E56">
      <w:pPr>
        <w:tabs>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sz w:val="20"/>
          <w:szCs w:val="20"/>
        </w:rPr>
      </w:pPr>
      <w:r w:rsidRPr="00F35207">
        <w:rPr>
          <w:rFonts w:ascii="Arial" w:hAnsi="Arial" w:cs="Arial"/>
          <w:sz w:val="20"/>
          <w:szCs w:val="20"/>
        </w:rPr>
        <w:t>Motor cars</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up to 75 g/km</w:t>
      </w:r>
      <w:r w:rsidRPr="00F35207">
        <w:rPr>
          <w:rFonts w:ascii="Arial" w:hAnsi="Arial" w:cs="Arial"/>
          <w:sz w:val="20"/>
          <w:szCs w:val="20"/>
        </w:rPr>
        <w:tab/>
        <w:t>100%</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between 76 and 130 g/km</w:t>
      </w:r>
      <w:r w:rsidRPr="00F35207">
        <w:rPr>
          <w:rFonts w:ascii="Arial" w:hAnsi="Arial" w:cs="Arial"/>
          <w:sz w:val="20"/>
          <w:szCs w:val="20"/>
        </w:rPr>
        <w:tab/>
        <w:t>18%</w:t>
      </w:r>
    </w:p>
    <w:p w:rsidR="00F35207" w:rsidRPr="00F35207" w:rsidRDefault="00F35207" w:rsidP="004B5E56">
      <w:pPr>
        <w:tabs>
          <w:tab w:val="left" w:pos="284"/>
          <w:tab w:val="right" w:pos="6946"/>
        </w:tabs>
        <w:spacing w:line="276" w:lineRule="auto"/>
        <w:rPr>
          <w:rFonts w:ascii="Arial" w:hAnsi="Arial" w:cs="Arial"/>
          <w:sz w:val="20"/>
          <w:szCs w:val="20"/>
        </w:rPr>
      </w:pPr>
      <w:r w:rsidRPr="00F35207">
        <w:rPr>
          <w:rFonts w:ascii="Arial" w:hAnsi="Arial" w:cs="Arial"/>
          <w:sz w:val="20"/>
          <w:szCs w:val="20"/>
        </w:rPr>
        <w:tab/>
        <w:t>CO</w:t>
      </w:r>
      <w:r w:rsidRPr="00F35207">
        <w:rPr>
          <w:rFonts w:ascii="Arial" w:hAnsi="Arial" w:cs="Arial"/>
          <w:sz w:val="20"/>
          <w:szCs w:val="20"/>
          <w:vertAlign w:val="subscript"/>
        </w:rPr>
        <w:t>2</w:t>
      </w:r>
      <w:r w:rsidRPr="00F35207">
        <w:rPr>
          <w:rFonts w:ascii="Arial" w:hAnsi="Arial" w:cs="Arial"/>
          <w:sz w:val="20"/>
          <w:szCs w:val="20"/>
        </w:rPr>
        <w:t xml:space="preserve"> emissions over 130 g/km</w:t>
      </w:r>
      <w:r w:rsidRPr="00F35207">
        <w:rPr>
          <w:rFonts w:ascii="Arial" w:hAnsi="Arial" w:cs="Arial"/>
          <w:sz w:val="20"/>
          <w:szCs w:val="20"/>
        </w:rPr>
        <w:tab/>
        <w:t>8%</w:t>
      </w:r>
      <w:r w:rsidRPr="00F35207">
        <w:rPr>
          <w:rFonts w:ascii="Arial" w:hAnsi="Arial" w:cs="Arial"/>
          <w:sz w:val="20"/>
          <w:szCs w:val="20"/>
        </w:rPr>
        <w:tab/>
      </w:r>
    </w:p>
    <w:p w:rsidR="00F35207" w:rsidRPr="00F35207" w:rsidRDefault="00F35207" w:rsidP="004B5E56">
      <w:pPr>
        <w:tabs>
          <w:tab w:val="left" w:pos="284"/>
          <w:tab w:val="left" w:pos="567"/>
          <w:tab w:val="right" w:pos="7020"/>
        </w:tabs>
        <w:spacing w:line="276" w:lineRule="auto"/>
        <w:rPr>
          <w:rFonts w:ascii="Arial" w:hAnsi="Arial" w:cs="Arial"/>
          <w:sz w:val="20"/>
          <w:szCs w:val="20"/>
        </w:rPr>
      </w:pPr>
      <w:r w:rsidRPr="00F35207">
        <w:rPr>
          <w:rFonts w:ascii="Arial" w:hAnsi="Arial" w:cs="Arial"/>
          <w:sz w:val="20"/>
          <w:szCs w:val="20"/>
        </w:rPr>
        <w:tab/>
      </w:r>
      <w:r w:rsidRPr="00F35207">
        <w:rPr>
          <w:rFonts w:ascii="Arial" w:hAnsi="Arial" w:cs="Arial"/>
          <w:sz w:val="20"/>
          <w:szCs w:val="20"/>
        </w:rPr>
        <w:tab/>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Energy efficient and water saving plant</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b/>
        <w:t>First year allowance</w:t>
      </w:r>
      <w:r w:rsidRPr="00F35207">
        <w:rPr>
          <w:rFonts w:ascii="Arial" w:hAnsi="Arial" w:cs="Arial"/>
          <w:sz w:val="20"/>
          <w:szCs w:val="20"/>
        </w:rPr>
        <w:tab/>
        <w:t>100%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bCs/>
          <w:sz w:val="20"/>
          <w:szCs w:val="20"/>
        </w:rPr>
      </w:pPr>
      <w:r w:rsidRPr="00F35207">
        <w:rPr>
          <w:rFonts w:ascii="Arial" w:hAnsi="Arial" w:cs="Arial"/>
          <w:b/>
          <w:bCs/>
          <w:sz w:val="20"/>
          <w:szCs w:val="20"/>
        </w:rPr>
        <w:t>Capital gains</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Annual exempt amount</w:t>
      </w:r>
      <w:r w:rsidRPr="00F35207">
        <w:rPr>
          <w:rFonts w:ascii="Arial" w:hAnsi="Arial" w:cs="Arial"/>
          <w:sz w:val="20"/>
          <w:szCs w:val="20"/>
        </w:rPr>
        <w:tab/>
        <w:t>£11,100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Standard rate (residential property/other disposals)</w:t>
      </w:r>
      <w:r w:rsidRPr="00F35207">
        <w:rPr>
          <w:rFonts w:ascii="Arial" w:hAnsi="Arial" w:cs="Arial"/>
          <w:sz w:val="20"/>
          <w:szCs w:val="20"/>
        </w:rPr>
        <w:tab/>
        <w:t>18/10%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Higher rate (residential property/other disposals)</w:t>
      </w:r>
      <w:r w:rsidRPr="00F35207">
        <w:rPr>
          <w:rFonts w:ascii="Arial" w:hAnsi="Arial" w:cs="Arial"/>
          <w:sz w:val="20"/>
          <w:szCs w:val="20"/>
        </w:rPr>
        <w:tab/>
        <w:t>28/20%</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Entrepreneur’s relief rate</w:t>
      </w:r>
      <w:r w:rsidRPr="00F35207">
        <w:rPr>
          <w:rFonts w:ascii="Arial" w:hAnsi="Arial" w:cs="Arial"/>
          <w:sz w:val="20"/>
          <w:szCs w:val="20"/>
        </w:rPr>
        <w:tab/>
        <w:t>10%</w:t>
      </w:r>
    </w:p>
    <w:p w:rsidR="00F35207" w:rsidRPr="00F35207" w:rsidRDefault="00F35207" w:rsidP="004B5E56">
      <w:pPr>
        <w:tabs>
          <w:tab w:val="left" w:pos="284"/>
          <w:tab w:val="right" w:pos="7020"/>
        </w:tabs>
        <w:spacing w:line="276" w:lineRule="auto"/>
        <w:rPr>
          <w:rFonts w:ascii="Arial" w:hAnsi="Arial" w:cs="Arial"/>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Entrepreneurs’ relief limit</w:t>
      </w:r>
      <w:r w:rsidRPr="00F35207">
        <w:rPr>
          <w:rFonts w:ascii="Arial" w:hAnsi="Arial" w:cs="Arial"/>
          <w:sz w:val="20"/>
          <w:szCs w:val="20"/>
        </w:rPr>
        <w:tab/>
        <w:t>£10,000,000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sz w:val="20"/>
          <w:szCs w:val="20"/>
        </w:rPr>
      </w:pPr>
      <w:r w:rsidRPr="00F35207">
        <w:rPr>
          <w:rFonts w:ascii="Arial" w:hAnsi="Arial" w:cs="Arial"/>
          <w:b/>
          <w:sz w:val="20"/>
          <w:szCs w:val="20"/>
        </w:rPr>
        <w:t xml:space="preserve">National </w:t>
      </w:r>
      <w:r w:rsidR="002D51ED" w:rsidRPr="00F35207">
        <w:rPr>
          <w:rFonts w:ascii="Arial" w:hAnsi="Arial" w:cs="Arial"/>
          <w:b/>
          <w:sz w:val="20"/>
          <w:szCs w:val="20"/>
        </w:rPr>
        <w:t>I</w:t>
      </w:r>
      <w:r w:rsidRPr="00F35207">
        <w:rPr>
          <w:rFonts w:ascii="Arial" w:hAnsi="Arial" w:cs="Arial"/>
          <w:b/>
          <w:sz w:val="20"/>
          <w:szCs w:val="20"/>
        </w:rPr>
        <w:t>nsurance rates</w:t>
      </w:r>
    </w:p>
    <w:p w:rsidR="00F35207" w:rsidRPr="00F35207" w:rsidRDefault="00F35207" w:rsidP="004B5E56">
      <w:pPr>
        <w:tabs>
          <w:tab w:val="left" w:pos="284"/>
          <w:tab w:val="right" w:pos="6237"/>
        </w:tabs>
        <w:spacing w:line="276" w:lineRule="auto"/>
        <w:rPr>
          <w:rFonts w:ascii="Arial" w:hAnsi="Arial" w:cs="Arial"/>
          <w:b/>
          <w:sz w:val="20"/>
          <w:szCs w:val="20"/>
        </w:rPr>
      </w:pP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Class 2 contributions:</w:t>
      </w:r>
      <w:r w:rsidRPr="00F35207">
        <w:rPr>
          <w:rFonts w:ascii="Arial" w:hAnsi="Arial" w:cs="Arial"/>
          <w:sz w:val="20"/>
          <w:szCs w:val="20"/>
        </w:rPr>
        <w:tab/>
        <w:t>£2.80 per week</w:t>
      </w:r>
    </w:p>
    <w:p w:rsidR="00F35207" w:rsidRPr="00F35207" w:rsidRDefault="00F35207" w:rsidP="004B5E56">
      <w:pPr>
        <w:tabs>
          <w:tab w:val="left" w:pos="284"/>
          <w:tab w:val="right" w:pos="7020"/>
        </w:tabs>
        <w:spacing w:line="276" w:lineRule="auto"/>
        <w:rPr>
          <w:rFonts w:ascii="Arial" w:hAnsi="Arial" w:cs="Arial"/>
          <w:sz w:val="20"/>
          <w:szCs w:val="20"/>
        </w:rPr>
      </w:pPr>
      <w:proofErr w:type="gramStart"/>
      <w:r w:rsidRPr="00F35207">
        <w:rPr>
          <w:rFonts w:ascii="Arial" w:hAnsi="Arial" w:cs="Arial"/>
          <w:sz w:val="20"/>
          <w:szCs w:val="20"/>
        </w:rPr>
        <w:t>Small earnings exemption</w:t>
      </w:r>
      <w:r w:rsidRPr="00F35207">
        <w:rPr>
          <w:rFonts w:ascii="Arial" w:hAnsi="Arial" w:cs="Arial"/>
          <w:sz w:val="20"/>
          <w:szCs w:val="20"/>
        </w:rPr>
        <w:tab/>
        <w:t>£5,965 p.a.</w:t>
      </w:r>
      <w:proofErr w:type="gramEnd"/>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sz w:val="20"/>
          <w:szCs w:val="20"/>
        </w:rPr>
      </w:pPr>
      <w:r w:rsidRPr="00F35207">
        <w:rPr>
          <w:rFonts w:ascii="Arial" w:hAnsi="Arial" w:cs="Arial"/>
          <w:sz w:val="20"/>
          <w:szCs w:val="20"/>
        </w:rPr>
        <w:t>Class 4 contributions:</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Main rate</w:t>
      </w:r>
      <w:r w:rsidRPr="00F35207">
        <w:rPr>
          <w:rFonts w:ascii="Arial" w:hAnsi="Arial" w:cs="Arial"/>
          <w:sz w:val="20"/>
          <w:szCs w:val="20"/>
        </w:rPr>
        <w:tab/>
        <w:t>9%</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Additional rate</w:t>
      </w:r>
      <w:r w:rsidRPr="00F35207">
        <w:rPr>
          <w:rFonts w:ascii="Arial" w:hAnsi="Arial" w:cs="Arial"/>
          <w:sz w:val="20"/>
          <w:szCs w:val="20"/>
        </w:rPr>
        <w:tab/>
        <w:t>2%</w:t>
      </w:r>
    </w:p>
    <w:p w:rsidR="00F35207" w:rsidRPr="00F35207" w:rsidRDefault="00F35207" w:rsidP="004B5E56">
      <w:pPr>
        <w:tabs>
          <w:tab w:val="left" w:pos="284"/>
          <w:tab w:val="right" w:pos="7020"/>
        </w:tabs>
        <w:spacing w:line="276" w:lineRule="auto"/>
        <w:rPr>
          <w:rFonts w:ascii="Arial" w:hAnsi="Arial" w:cs="Arial"/>
          <w:sz w:val="20"/>
          <w:szCs w:val="20"/>
        </w:rPr>
      </w:pPr>
      <w:r w:rsidRPr="00F35207">
        <w:rPr>
          <w:rFonts w:ascii="Arial" w:hAnsi="Arial" w:cs="Arial"/>
          <w:sz w:val="20"/>
          <w:szCs w:val="20"/>
        </w:rPr>
        <w:t>Lower earnings limit</w:t>
      </w:r>
      <w:r w:rsidRPr="00F35207">
        <w:rPr>
          <w:rFonts w:ascii="Arial" w:hAnsi="Arial" w:cs="Arial"/>
          <w:sz w:val="20"/>
          <w:szCs w:val="20"/>
        </w:rPr>
        <w:tab/>
        <w:t>£8,060</w:t>
      </w:r>
    </w:p>
    <w:p w:rsidR="00F35207" w:rsidRPr="00F35207" w:rsidRDefault="00F35207" w:rsidP="004B5E56">
      <w:pPr>
        <w:tabs>
          <w:tab w:val="right" w:pos="284"/>
          <w:tab w:val="right" w:pos="7020"/>
        </w:tabs>
        <w:spacing w:line="276" w:lineRule="auto"/>
        <w:rPr>
          <w:rFonts w:ascii="Arial" w:hAnsi="Arial" w:cs="Arial"/>
          <w:sz w:val="20"/>
          <w:szCs w:val="20"/>
        </w:rPr>
      </w:pPr>
      <w:r w:rsidRPr="00F35207">
        <w:rPr>
          <w:rFonts w:ascii="Arial" w:hAnsi="Arial" w:cs="Arial"/>
          <w:sz w:val="20"/>
          <w:szCs w:val="20"/>
        </w:rPr>
        <w:t>Upper earnings limit</w:t>
      </w:r>
      <w:r w:rsidRPr="00F35207">
        <w:rPr>
          <w:rFonts w:ascii="Arial" w:hAnsi="Arial" w:cs="Arial"/>
          <w:sz w:val="20"/>
          <w:szCs w:val="20"/>
        </w:rPr>
        <w:tab/>
        <w:t>£43,000</w:t>
      </w:r>
    </w:p>
    <w:p w:rsidR="00F35207" w:rsidRPr="00F35207" w:rsidRDefault="00F35207" w:rsidP="004B5E56">
      <w:pPr>
        <w:tabs>
          <w:tab w:val="left" w:pos="284"/>
          <w:tab w:val="right" w:pos="6237"/>
        </w:tabs>
        <w:spacing w:line="276" w:lineRule="auto"/>
        <w:rPr>
          <w:rFonts w:ascii="Arial" w:hAnsi="Arial" w:cs="Arial"/>
          <w:sz w:val="20"/>
          <w:szCs w:val="20"/>
        </w:rPr>
      </w:pPr>
    </w:p>
    <w:p w:rsidR="00F35207" w:rsidRPr="00F35207" w:rsidRDefault="00F35207" w:rsidP="004B5E56">
      <w:pPr>
        <w:tabs>
          <w:tab w:val="left" w:pos="284"/>
          <w:tab w:val="right" w:pos="6237"/>
        </w:tabs>
        <w:spacing w:line="276" w:lineRule="auto"/>
        <w:rPr>
          <w:rFonts w:ascii="Arial" w:hAnsi="Arial" w:cs="Arial"/>
          <w:b/>
          <w:bCs/>
          <w:sz w:val="20"/>
          <w:szCs w:val="20"/>
        </w:rPr>
      </w:pPr>
      <w:r w:rsidRPr="00F35207">
        <w:rPr>
          <w:rFonts w:ascii="Arial" w:hAnsi="Arial" w:cs="Arial"/>
          <w:b/>
          <w:bCs/>
          <w:sz w:val="20"/>
          <w:szCs w:val="20"/>
        </w:rPr>
        <w:t>Corporation tax</w:t>
      </w:r>
    </w:p>
    <w:p w:rsidR="00F35207" w:rsidRPr="00F35207" w:rsidRDefault="00F35207" w:rsidP="004B5E56">
      <w:pPr>
        <w:tabs>
          <w:tab w:val="left" w:pos="284"/>
          <w:tab w:val="right" w:pos="6237"/>
        </w:tabs>
        <w:spacing w:line="276" w:lineRule="auto"/>
        <w:rPr>
          <w:rFonts w:ascii="Arial" w:hAnsi="Arial" w:cs="Arial"/>
          <w:b/>
          <w:bCs/>
          <w:sz w:val="20"/>
          <w:szCs w:val="20"/>
        </w:rPr>
      </w:pPr>
    </w:p>
    <w:p w:rsidR="00F35207" w:rsidRPr="00F35207" w:rsidRDefault="00F35207" w:rsidP="004B5E56">
      <w:pPr>
        <w:tabs>
          <w:tab w:val="right" w:pos="5103"/>
          <w:tab w:val="right" w:pos="7020"/>
        </w:tabs>
        <w:spacing w:line="276" w:lineRule="auto"/>
        <w:jc w:val="both"/>
        <w:rPr>
          <w:rFonts w:ascii="Arial" w:hAnsi="Arial" w:cs="Arial"/>
          <w:b/>
          <w:sz w:val="20"/>
          <w:szCs w:val="20"/>
        </w:rPr>
      </w:pPr>
      <w:r w:rsidRPr="00F35207">
        <w:rPr>
          <w:rFonts w:ascii="Arial" w:hAnsi="Arial" w:cs="Arial"/>
          <w:sz w:val="20"/>
          <w:szCs w:val="20"/>
        </w:rPr>
        <w:t>Financial year</w:t>
      </w:r>
      <w:r w:rsidRPr="00F35207">
        <w:rPr>
          <w:rFonts w:ascii="Arial" w:hAnsi="Arial" w:cs="Arial"/>
          <w:sz w:val="20"/>
          <w:szCs w:val="20"/>
        </w:rPr>
        <w:tab/>
      </w:r>
      <w:r w:rsidRPr="00F35207">
        <w:rPr>
          <w:rFonts w:ascii="Arial" w:hAnsi="Arial" w:cs="Arial"/>
          <w:b/>
          <w:sz w:val="20"/>
          <w:szCs w:val="20"/>
        </w:rPr>
        <w:t>2016</w:t>
      </w:r>
      <w:r w:rsidRPr="00F35207">
        <w:rPr>
          <w:rFonts w:ascii="Arial" w:hAnsi="Arial" w:cs="Arial"/>
          <w:b/>
          <w:sz w:val="20"/>
          <w:szCs w:val="20"/>
        </w:rPr>
        <w:tab/>
        <w:t>2015</w:t>
      </w:r>
    </w:p>
    <w:p w:rsidR="00F35207" w:rsidRPr="00F35207" w:rsidRDefault="00F35207" w:rsidP="004B5E56">
      <w:pPr>
        <w:tabs>
          <w:tab w:val="right" w:pos="5103"/>
          <w:tab w:val="right" w:pos="7088"/>
        </w:tabs>
        <w:spacing w:line="276" w:lineRule="auto"/>
        <w:jc w:val="both"/>
        <w:rPr>
          <w:rFonts w:ascii="Arial" w:hAnsi="Arial" w:cs="Arial"/>
          <w:sz w:val="20"/>
          <w:szCs w:val="20"/>
        </w:rPr>
      </w:pPr>
    </w:p>
    <w:p w:rsidR="00F35207" w:rsidRPr="00F35207" w:rsidRDefault="00F35207" w:rsidP="004B5E56">
      <w:pPr>
        <w:tabs>
          <w:tab w:val="right" w:pos="5103"/>
          <w:tab w:val="right" w:pos="7020"/>
        </w:tabs>
        <w:spacing w:line="276" w:lineRule="auto"/>
        <w:jc w:val="both"/>
        <w:rPr>
          <w:rFonts w:ascii="Arial" w:hAnsi="Arial" w:cs="Arial"/>
          <w:sz w:val="20"/>
          <w:szCs w:val="20"/>
        </w:rPr>
      </w:pPr>
      <w:r w:rsidRPr="00F35207">
        <w:rPr>
          <w:rFonts w:ascii="Arial" w:hAnsi="Arial" w:cs="Arial"/>
          <w:sz w:val="20"/>
          <w:szCs w:val="20"/>
        </w:rPr>
        <w:t>All profits and gains</w:t>
      </w:r>
      <w:r w:rsidRPr="00F35207">
        <w:rPr>
          <w:rFonts w:ascii="Arial" w:hAnsi="Arial" w:cs="Arial"/>
          <w:sz w:val="20"/>
          <w:szCs w:val="20"/>
        </w:rPr>
        <w:tab/>
        <w:t>20%</w:t>
      </w:r>
      <w:r w:rsidRPr="00F35207">
        <w:rPr>
          <w:rFonts w:ascii="Arial" w:hAnsi="Arial" w:cs="Arial"/>
          <w:sz w:val="20"/>
          <w:szCs w:val="20"/>
        </w:rPr>
        <w:tab/>
        <w:t>20%</w:t>
      </w:r>
    </w:p>
    <w:p w:rsidR="00041B7F" w:rsidRDefault="00041B7F" w:rsidP="004B5E56">
      <w:pPr>
        <w:spacing w:line="276" w:lineRule="auto"/>
        <w:rPr>
          <w:sz w:val="20"/>
          <w:szCs w:val="20"/>
        </w:rPr>
      </w:pPr>
      <w:r>
        <w:rPr>
          <w:sz w:val="20"/>
          <w:szCs w:val="20"/>
        </w:rPr>
        <w:br w:type="page"/>
      </w:r>
    </w:p>
    <w:p w:rsidR="00041B7F" w:rsidRPr="002F0240" w:rsidRDefault="00041B7F" w:rsidP="004B5E56">
      <w:pPr>
        <w:spacing w:line="276" w:lineRule="auto"/>
        <w:rPr>
          <w:rFonts w:ascii="Arial" w:hAnsi="Arial" w:cs="Arial"/>
          <w:b/>
        </w:rPr>
      </w:pPr>
      <w:r w:rsidRPr="002F0240">
        <w:rPr>
          <w:rFonts w:ascii="Arial" w:hAnsi="Arial" w:cs="Arial"/>
          <w:b/>
        </w:rPr>
        <w:lastRenderedPageBreak/>
        <w:t>Introduction to business tax</w:t>
      </w:r>
    </w:p>
    <w:p w:rsidR="00041B7F" w:rsidRPr="00A71D64" w:rsidRDefault="00041B7F" w:rsidP="004B5E56">
      <w:pPr>
        <w:spacing w:line="276" w:lineRule="auto"/>
        <w:rPr>
          <w:rFonts w:ascii="Arial" w:hAnsi="Arial" w:cs="Arial"/>
          <w:sz w:val="22"/>
          <w:szCs w:val="22"/>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Administration</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2F0240">
        <w:rPr>
          <w:rFonts w:cs="Arial"/>
        </w:rPr>
        <w:t xml:space="preserve">Taxation administered by </w:t>
      </w:r>
      <w:r w:rsidRPr="00041B7F">
        <w:rPr>
          <w:rFonts w:cs="Arial"/>
        </w:rPr>
        <w:t>HM Revenue &amp; Customs (HMRC).</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Rules covering tax are contained in statute (law)</w:t>
      </w:r>
      <w:r w:rsidR="00AA48F0">
        <w:rPr>
          <w:rFonts w:cs="Arial"/>
        </w:rPr>
        <w:t xml:space="preserve"> which is </w:t>
      </w:r>
      <w:r w:rsidRPr="00041B7F">
        <w:rPr>
          <w:rFonts w:cs="Arial"/>
        </w:rPr>
        <w:t xml:space="preserve">passed every year </w:t>
      </w:r>
      <w:r w:rsidR="00AA48F0">
        <w:rPr>
          <w:rFonts w:cs="Arial"/>
        </w:rPr>
        <w:t>(</w:t>
      </w:r>
      <w:r w:rsidRPr="00041B7F">
        <w:rPr>
          <w:rFonts w:cs="Arial"/>
        </w:rPr>
        <w:t>Finance Act</w:t>
      </w:r>
      <w:r w:rsidR="00AA48F0">
        <w:rPr>
          <w:rFonts w:cs="Arial"/>
        </w:rPr>
        <w:t>)</w:t>
      </w:r>
      <w:r w:rsidRPr="00041B7F">
        <w:rPr>
          <w:rFonts w:cs="Arial"/>
        </w:rPr>
        <w:t>.</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Decisions reached by the </w:t>
      </w:r>
      <w:r w:rsidR="008842C2">
        <w:rPr>
          <w:rFonts w:cs="Arial"/>
        </w:rPr>
        <w:t>c</w:t>
      </w:r>
      <w:r w:rsidR="008842C2" w:rsidRPr="00041B7F">
        <w:rPr>
          <w:rFonts w:cs="Arial"/>
        </w:rPr>
        <w:t xml:space="preserve">ourts </w:t>
      </w:r>
      <w:r w:rsidRPr="00041B7F">
        <w:rPr>
          <w:rFonts w:cs="Arial"/>
        </w:rPr>
        <w:t>interpreting the law are known as case law.</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HMRC also issue guidance – Extra Statutory Concessions and Statements of Practice.</w:t>
      </w:r>
    </w:p>
    <w:p w:rsidR="00041B7F" w:rsidRPr="002F0240" w:rsidRDefault="00041B7F" w:rsidP="004B5E56">
      <w:pPr>
        <w:spacing w:line="276" w:lineRule="auto"/>
        <w:rPr>
          <w:rFonts w:ascii="Arial" w:hAnsi="Arial" w:cs="Arial"/>
          <w:sz w:val="20"/>
          <w:szCs w:val="20"/>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Taxes</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Corporation Tax – paid by companies on both income </w:t>
      </w:r>
      <w:r w:rsidR="008A02E7">
        <w:rPr>
          <w:rFonts w:cs="Arial"/>
        </w:rPr>
        <w:t>and</w:t>
      </w:r>
      <w:r w:rsidR="008A02E7" w:rsidRPr="00041B7F">
        <w:rPr>
          <w:rFonts w:cs="Arial"/>
        </w:rPr>
        <w:t xml:space="preserve"> </w:t>
      </w:r>
      <w:r w:rsidRPr="00041B7F">
        <w:rPr>
          <w:rFonts w:cs="Arial"/>
        </w:rPr>
        <w:t>capital gains.</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Income Tax – paid by individuals on their income.</w:t>
      </w:r>
      <w:r w:rsidRPr="00041B7F">
        <w:rPr>
          <w:rFonts w:cs="Arial"/>
        </w:rPr>
        <w:br/>
      </w:r>
    </w:p>
    <w:p w:rsidR="00041B7F" w:rsidRPr="002F0240" w:rsidRDefault="00041B7F" w:rsidP="004B5E56">
      <w:pPr>
        <w:pStyle w:val="ListParagraph"/>
        <w:numPr>
          <w:ilvl w:val="0"/>
          <w:numId w:val="1"/>
        </w:numPr>
        <w:spacing w:after="200" w:line="276" w:lineRule="auto"/>
        <w:rPr>
          <w:rFonts w:cs="Arial"/>
        </w:rPr>
      </w:pPr>
      <w:r w:rsidRPr="00041B7F">
        <w:rPr>
          <w:rFonts w:cs="Arial"/>
        </w:rPr>
        <w:t>Capital Gains Tax – paid by individuals on their capital</w:t>
      </w:r>
      <w:r w:rsidRPr="002F0240">
        <w:rPr>
          <w:rFonts w:cs="Arial"/>
        </w:rPr>
        <w:t xml:space="preserve"> gains.</w:t>
      </w:r>
    </w:p>
    <w:p w:rsidR="00041B7F" w:rsidRPr="002F0240" w:rsidRDefault="00041B7F" w:rsidP="004B5E56">
      <w:pPr>
        <w:spacing w:line="276" w:lineRule="auto"/>
        <w:rPr>
          <w:rFonts w:ascii="Arial" w:hAnsi="Arial" w:cs="Arial"/>
          <w:sz w:val="20"/>
          <w:szCs w:val="20"/>
        </w:rPr>
      </w:pPr>
    </w:p>
    <w:p w:rsidR="00041B7F" w:rsidRPr="002F0240" w:rsidRDefault="00041B7F" w:rsidP="004B5E56">
      <w:pPr>
        <w:spacing w:line="276" w:lineRule="auto"/>
        <w:rPr>
          <w:rFonts w:ascii="Arial" w:hAnsi="Arial" w:cs="Arial"/>
          <w:b/>
          <w:sz w:val="20"/>
          <w:szCs w:val="20"/>
        </w:rPr>
      </w:pPr>
      <w:r w:rsidRPr="002F0240">
        <w:rPr>
          <w:rFonts w:ascii="Arial" w:hAnsi="Arial" w:cs="Arial"/>
          <w:b/>
          <w:sz w:val="20"/>
          <w:szCs w:val="20"/>
        </w:rPr>
        <w:t xml:space="preserve">Tax </w:t>
      </w:r>
      <w:r>
        <w:rPr>
          <w:rFonts w:ascii="Arial" w:hAnsi="Arial" w:cs="Arial"/>
          <w:b/>
          <w:sz w:val="20"/>
          <w:szCs w:val="20"/>
        </w:rPr>
        <w:t>a</w:t>
      </w:r>
      <w:r w:rsidRPr="002F0240">
        <w:rPr>
          <w:rFonts w:ascii="Arial" w:hAnsi="Arial" w:cs="Arial"/>
          <w:b/>
          <w:sz w:val="20"/>
          <w:szCs w:val="20"/>
        </w:rPr>
        <w:t xml:space="preserve">voidance </w:t>
      </w:r>
      <w:r>
        <w:rPr>
          <w:rFonts w:ascii="Arial" w:hAnsi="Arial" w:cs="Arial"/>
          <w:b/>
          <w:sz w:val="20"/>
          <w:szCs w:val="20"/>
        </w:rPr>
        <w:t>and tax evasion</w:t>
      </w:r>
    </w:p>
    <w:p w:rsidR="00041B7F" w:rsidRPr="002F0240"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2"/>
        </w:numPr>
        <w:spacing w:line="276" w:lineRule="auto"/>
        <w:rPr>
          <w:rFonts w:cs="Arial"/>
        </w:rPr>
      </w:pPr>
      <w:r w:rsidRPr="00041B7F">
        <w:rPr>
          <w:rFonts w:cs="Arial"/>
        </w:rPr>
        <w:t>Tax evasion</w:t>
      </w:r>
    </w:p>
    <w:p w:rsidR="00041B7F" w:rsidRPr="00041B7F" w:rsidRDefault="00041B7F" w:rsidP="004B5E56">
      <w:pPr>
        <w:spacing w:line="276" w:lineRule="auto"/>
        <w:ind w:left="709"/>
        <w:rPr>
          <w:rFonts w:ascii="Arial" w:hAnsi="Arial" w:cs="Arial"/>
          <w:sz w:val="20"/>
          <w:szCs w:val="20"/>
        </w:rPr>
      </w:pPr>
      <w:r w:rsidRPr="00041B7F">
        <w:rPr>
          <w:rFonts w:ascii="Arial" w:hAnsi="Arial" w:cs="Arial"/>
          <w:sz w:val="20"/>
          <w:szCs w:val="20"/>
        </w:rPr>
        <w:t xml:space="preserve">Any action taken to evade tax by illegal means; this carries a risk of criminal prosecution. </w:t>
      </w:r>
      <w:r w:rsidRPr="00041B7F">
        <w:rPr>
          <w:rFonts w:ascii="Arial" w:hAnsi="Arial" w:cs="Arial"/>
          <w:sz w:val="20"/>
          <w:szCs w:val="20"/>
        </w:rPr>
        <w:br/>
        <w:t>Examples of tax evasion include failing to declare income and claiming false expenses.</w:t>
      </w:r>
      <w:r w:rsidRPr="00041B7F">
        <w:rPr>
          <w:rFonts w:ascii="Arial" w:hAnsi="Arial" w:cs="Arial"/>
          <w:sz w:val="20"/>
          <w:szCs w:val="20"/>
        </w:rPr>
        <w:br/>
      </w:r>
    </w:p>
    <w:p w:rsidR="00041B7F" w:rsidRPr="00041B7F" w:rsidRDefault="00041B7F" w:rsidP="004B5E56">
      <w:pPr>
        <w:pStyle w:val="ListParagraph"/>
        <w:numPr>
          <w:ilvl w:val="0"/>
          <w:numId w:val="2"/>
        </w:numPr>
        <w:spacing w:line="276" w:lineRule="auto"/>
        <w:rPr>
          <w:rFonts w:cs="Arial"/>
        </w:rPr>
      </w:pPr>
      <w:r w:rsidRPr="00041B7F">
        <w:rPr>
          <w:rFonts w:cs="Arial"/>
        </w:rPr>
        <w:t>Tax avoidance</w:t>
      </w:r>
    </w:p>
    <w:p w:rsidR="00041B7F" w:rsidRPr="00041B7F" w:rsidRDefault="00041B7F" w:rsidP="004B5E56">
      <w:pPr>
        <w:spacing w:after="200" w:line="276" w:lineRule="auto"/>
        <w:ind w:left="709"/>
        <w:rPr>
          <w:sz w:val="20"/>
          <w:szCs w:val="20"/>
        </w:rPr>
      </w:pPr>
      <w:proofErr w:type="gramStart"/>
      <w:r w:rsidRPr="00041B7F">
        <w:rPr>
          <w:rFonts w:ascii="Arial" w:hAnsi="Arial" w:cs="Arial"/>
          <w:sz w:val="20"/>
          <w:szCs w:val="20"/>
        </w:rPr>
        <w:t>Use of legitimate means to minimise taxpayer’s tax liability, for example by investing in a tax-free ISA (Individual Savings Account).</w:t>
      </w:r>
      <w:proofErr w:type="gramEnd"/>
    </w:p>
    <w:p w:rsidR="00041B7F" w:rsidRDefault="00041B7F" w:rsidP="004B5E56">
      <w:pPr>
        <w:spacing w:line="276" w:lineRule="auto"/>
        <w:rPr>
          <w:sz w:val="20"/>
          <w:szCs w:val="20"/>
        </w:rPr>
      </w:pPr>
      <w:r>
        <w:rPr>
          <w:sz w:val="20"/>
          <w:szCs w:val="20"/>
        </w:rPr>
        <w:br w:type="page"/>
      </w:r>
    </w:p>
    <w:p w:rsidR="00041B7F" w:rsidRPr="00DF4B1D" w:rsidRDefault="00041B7F" w:rsidP="004B5E56">
      <w:pPr>
        <w:spacing w:line="276" w:lineRule="auto"/>
        <w:rPr>
          <w:rFonts w:ascii="Arial" w:hAnsi="Arial" w:cs="Arial"/>
          <w:b/>
        </w:rPr>
      </w:pPr>
      <w:r w:rsidRPr="00DF4B1D">
        <w:rPr>
          <w:rFonts w:ascii="Arial" w:hAnsi="Arial" w:cs="Arial"/>
          <w:b/>
        </w:rPr>
        <w:lastRenderedPageBreak/>
        <w:t>Adjustment of profits – sole</w:t>
      </w:r>
      <w:r w:rsidR="00911D6B">
        <w:rPr>
          <w:rFonts w:ascii="Arial" w:hAnsi="Arial" w:cs="Arial"/>
          <w:b/>
        </w:rPr>
        <w:t xml:space="preserve"> </w:t>
      </w:r>
      <w:r w:rsidRPr="00DF4B1D">
        <w:rPr>
          <w:rFonts w:ascii="Arial" w:hAnsi="Arial" w:cs="Arial"/>
          <w:b/>
        </w:rPr>
        <w:t>traders, partnerships and companies</w:t>
      </w:r>
    </w:p>
    <w:p w:rsidR="00041B7F" w:rsidRDefault="00041B7F" w:rsidP="004B5E56">
      <w:pPr>
        <w:spacing w:line="276" w:lineRule="auto"/>
        <w:rPr>
          <w:rFonts w:ascii="Arial" w:hAnsi="Arial" w:cs="Arial"/>
          <w:b/>
          <w:sz w:val="20"/>
          <w:szCs w:val="20"/>
          <w:lang w:eastAsia="en-GB"/>
        </w:rPr>
      </w:pPr>
    </w:p>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Pro</w:t>
      </w:r>
      <w:r w:rsidR="00532720">
        <w:rPr>
          <w:rFonts w:ascii="Arial" w:hAnsi="Arial" w:cs="Arial"/>
          <w:b/>
          <w:sz w:val="20"/>
          <w:szCs w:val="20"/>
          <w:lang w:eastAsia="en-GB"/>
        </w:rPr>
        <w:t xml:space="preserve"> </w:t>
      </w:r>
      <w:r w:rsidRPr="00DF4B1D">
        <w:rPr>
          <w:rFonts w:ascii="Arial" w:hAnsi="Arial" w:cs="Arial"/>
          <w:b/>
          <w:sz w:val="20"/>
          <w:szCs w:val="20"/>
          <w:lang w:eastAsia="en-GB"/>
        </w:rPr>
        <w:t xml:space="preserve">forma for adjustment of profits </w:t>
      </w:r>
    </w:p>
    <w:tbl>
      <w:tblPr>
        <w:tblStyle w:val="TableGrid"/>
        <w:tblW w:w="0" w:type="auto"/>
        <w:tblLayout w:type="fixed"/>
        <w:tblLook w:val="04A0" w:firstRow="1" w:lastRow="0" w:firstColumn="1" w:lastColumn="0" w:noHBand="0" w:noVBand="1"/>
      </w:tblPr>
      <w:tblGrid>
        <w:gridCol w:w="7905"/>
        <w:gridCol w:w="567"/>
        <w:gridCol w:w="567"/>
      </w:tblGrid>
      <w:tr w:rsidR="00041B7F" w:rsidTr="00041B7F">
        <w:trPr>
          <w:cnfStyle w:val="100000000000" w:firstRow="1" w:lastRow="0" w:firstColumn="0" w:lastColumn="0" w:oddVBand="0" w:evenVBand="0" w:oddHBand="0" w:evenHBand="0" w:firstRowFirstColumn="0" w:firstRowLastColumn="0" w:lastRowFirstColumn="0" w:lastRowLastColumn="0"/>
        </w:trPr>
        <w:tc>
          <w:tcPr>
            <w:tcW w:w="7905" w:type="dxa"/>
            <w:tcBorders>
              <w:top w:val="nil"/>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jc w:val="center"/>
              <w:rPr>
                <w:rFonts w:ascii="Arial" w:hAnsi="Arial" w:cs="Arial"/>
                <w:b/>
                <w:sz w:val="20"/>
                <w:szCs w:val="20"/>
                <w:lang w:eastAsia="en-GB"/>
              </w:rPr>
            </w:pPr>
            <w:r w:rsidRPr="00DF4B1D">
              <w:rPr>
                <w:rFonts w:ascii="Arial" w:hAnsi="Arial" w:cs="Arial"/>
                <w:sz w:val="20"/>
                <w:szCs w:val="20"/>
                <w:lang w:eastAsia="en-GB"/>
              </w:rPr>
              <w:t>£</w:t>
            </w:r>
          </w:p>
        </w:tc>
        <w:tc>
          <w:tcPr>
            <w:tcW w:w="567"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jc w:val="center"/>
              <w:rPr>
                <w:rFonts w:ascii="Arial" w:hAnsi="Arial" w:cs="Arial"/>
                <w:b/>
                <w:sz w:val="20"/>
                <w:szCs w:val="20"/>
                <w:lang w:eastAsia="en-GB"/>
              </w:rPr>
            </w:pPr>
            <w:r w:rsidRPr="00DF4B1D">
              <w:rPr>
                <w:rFonts w:ascii="Arial" w:hAnsi="Arial" w:cs="Arial"/>
                <w:sz w:val="20"/>
                <w:szCs w:val="20"/>
                <w:lang w:eastAsia="en-GB"/>
              </w:rPr>
              <w:t>£</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Net profit as per accounts</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Add</w:t>
            </w:r>
            <w:r>
              <w:rPr>
                <w:rFonts w:ascii="Arial" w:hAnsi="Arial" w:cs="Arial"/>
                <w:b/>
                <w:sz w:val="20"/>
                <w:szCs w:val="20"/>
                <w:lang w:eastAsia="en-GB"/>
              </w:rPr>
              <w:t>:</w:t>
            </w:r>
            <w:r>
              <w:rPr>
                <w:rFonts w:ascii="Arial" w:hAnsi="Arial" w:cs="Arial"/>
                <w:sz w:val="20"/>
                <w:szCs w:val="20"/>
                <w:lang w:eastAsia="en-GB"/>
              </w:rPr>
              <w:tab/>
            </w:r>
            <w:r w:rsidRPr="00DF4B1D">
              <w:rPr>
                <w:rFonts w:ascii="Arial" w:hAnsi="Arial" w:cs="Arial"/>
                <w:sz w:val="20"/>
                <w:szCs w:val="20"/>
                <w:lang w:eastAsia="en-GB"/>
              </w:rPr>
              <w:t>Expenses charged in the accounts that are not allowable as trading expenses</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Less</w:t>
            </w:r>
            <w:r>
              <w:rPr>
                <w:rFonts w:ascii="Arial" w:hAnsi="Arial" w:cs="Arial"/>
                <w:b/>
                <w:sz w:val="20"/>
                <w:szCs w:val="20"/>
                <w:lang w:eastAsia="en-GB"/>
              </w:rPr>
              <w:t>:</w:t>
            </w:r>
            <w:r>
              <w:rPr>
                <w:rFonts w:ascii="Arial" w:hAnsi="Arial" w:cs="Arial"/>
                <w:b/>
                <w:sz w:val="20"/>
                <w:szCs w:val="20"/>
                <w:lang w:eastAsia="en-GB"/>
              </w:rPr>
              <w:tab/>
            </w:r>
            <w:r w:rsidRPr="00DF4B1D">
              <w:rPr>
                <w:rFonts w:ascii="Arial" w:hAnsi="Arial" w:cs="Arial"/>
                <w:sz w:val="20"/>
                <w:szCs w:val="20"/>
                <w:lang w:eastAsia="en-GB"/>
              </w:rPr>
              <w:t>Income included in the accounts which is not assessable as trading income</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r w:rsidR="00041B7F" w:rsidTr="00041B7F">
        <w:trPr>
          <w:trHeight w:hRule="exact" w:val="340"/>
        </w:trPr>
        <w:tc>
          <w:tcPr>
            <w:tcW w:w="79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rsidR="00041B7F" w:rsidRDefault="00041B7F" w:rsidP="004B5E56">
            <w:pPr>
              <w:spacing w:line="276" w:lineRule="auto"/>
              <w:rPr>
                <w:rFonts w:ascii="Arial" w:hAnsi="Arial" w:cs="Arial"/>
                <w:b/>
                <w:sz w:val="20"/>
                <w:szCs w:val="20"/>
                <w:lang w:eastAsia="en-GB"/>
              </w:rPr>
            </w:pPr>
            <w:r w:rsidRPr="00DF4B1D">
              <w:rPr>
                <w:rFonts w:ascii="Arial" w:hAnsi="Arial" w:cs="Arial"/>
                <w:b/>
                <w:sz w:val="20"/>
                <w:szCs w:val="20"/>
                <w:lang w:eastAsia="en-GB"/>
              </w:rPr>
              <w:t>Adjusted profit/(loss)</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p>
        </w:tc>
        <w:tc>
          <w:tcPr>
            <w:tcW w:w="56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rsidR="00041B7F" w:rsidRPr="002B2429" w:rsidRDefault="00041B7F" w:rsidP="004B5E56">
            <w:pPr>
              <w:spacing w:line="276" w:lineRule="auto"/>
              <w:jc w:val="center"/>
              <w:rPr>
                <w:rFonts w:ascii="Arial" w:hAnsi="Arial" w:cs="Arial"/>
                <w:sz w:val="20"/>
                <w:szCs w:val="20"/>
                <w:lang w:eastAsia="en-GB"/>
              </w:rPr>
            </w:pPr>
            <w:r w:rsidRPr="002B2429">
              <w:rPr>
                <w:rFonts w:ascii="Arial" w:hAnsi="Arial" w:cs="Arial"/>
                <w:sz w:val="20"/>
                <w:szCs w:val="20"/>
                <w:lang w:eastAsia="en-GB"/>
              </w:rPr>
              <w:t>X</w:t>
            </w:r>
          </w:p>
        </w:tc>
      </w:tr>
    </w:tbl>
    <w:p w:rsidR="00041B7F" w:rsidRPr="00DF4B1D" w:rsidRDefault="00041B7F" w:rsidP="004B5E56">
      <w:pPr>
        <w:spacing w:line="276" w:lineRule="auto"/>
        <w:rPr>
          <w:rFonts w:ascii="Arial" w:hAnsi="Arial" w:cs="Arial"/>
          <w:b/>
          <w:sz w:val="20"/>
          <w:szCs w:val="20"/>
          <w:lang w:eastAsia="en-GB"/>
        </w:rPr>
      </w:pPr>
    </w:p>
    <w:p w:rsidR="00041B7F" w:rsidRPr="00DF4B1D" w:rsidRDefault="00041B7F" w:rsidP="004B5E56">
      <w:pPr>
        <w:spacing w:line="276" w:lineRule="auto"/>
        <w:rPr>
          <w:rFonts w:ascii="Arial" w:hAnsi="Arial" w:cs="Arial"/>
          <w:sz w:val="20"/>
          <w:szCs w:val="20"/>
        </w:rPr>
      </w:pPr>
    </w:p>
    <w:p w:rsidR="00041B7F" w:rsidRPr="00DF4B1D" w:rsidRDefault="00041B7F" w:rsidP="004B5E56">
      <w:pPr>
        <w:spacing w:before="100" w:beforeAutospacing="1" w:after="100" w:afterAutospacing="1" w:line="276" w:lineRule="auto"/>
        <w:rPr>
          <w:rFonts w:ascii="Arial" w:hAnsi="Arial" w:cs="Arial"/>
          <w:b/>
          <w:sz w:val="20"/>
          <w:szCs w:val="20"/>
          <w:lang w:eastAsia="en-GB"/>
        </w:rPr>
      </w:pPr>
      <w:r w:rsidRPr="00DF4B1D">
        <w:rPr>
          <w:rFonts w:ascii="Arial" w:hAnsi="Arial" w:cs="Arial"/>
          <w:b/>
          <w:sz w:val="20"/>
          <w:szCs w:val="20"/>
          <w:lang w:eastAsia="en-GB"/>
        </w:rPr>
        <w:t xml:space="preserve">Disallowed expenses </w:t>
      </w:r>
    </w:p>
    <w:p w:rsidR="00041B7F" w:rsidRPr="00041B7F" w:rsidRDefault="00041B7F" w:rsidP="004B5E56">
      <w:pPr>
        <w:pStyle w:val="ListParagraph"/>
        <w:numPr>
          <w:ilvl w:val="0"/>
          <w:numId w:val="3"/>
        </w:numPr>
        <w:spacing w:after="200" w:line="276" w:lineRule="auto"/>
        <w:rPr>
          <w:rFonts w:cs="Arial"/>
        </w:rPr>
      </w:pPr>
      <w:r w:rsidRPr="00041B7F">
        <w:rPr>
          <w:rFonts w:cs="Arial"/>
        </w:rPr>
        <w:t>Expenses that fail the remoteness test so not “wholly and exclusively” for trading purposes.</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Fines on the business or fraud by directors/owners.</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Donations to national charities – might be allowed as a charge on income if Gift Aid donations. Political donations are never allowable.</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Capital expenditure</w:t>
      </w:r>
      <w:r w:rsidR="00527E7F">
        <w:rPr>
          <w:rFonts w:cs="Arial"/>
        </w:rPr>
        <w:t>,</w:t>
      </w:r>
      <w:r w:rsidRPr="00041B7F">
        <w:rPr>
          <w:rFonts w:cs="Arial"/>
        </w:rPr>
        <w:t xml:space="preserve"> e.g. </w:t>
      </w:r>
      <w:r w:rsidR="00527E7F" w:rsidRPr="00041B7F">
        <w:rPr>
          <w:rFonts w:cs="Arial"/>
        </w:rPr>
        <w:t xml:space="preserve">purchase </w:t>
      </w:r>
      <w:r w:rsidRPr="00041B7F">
        <w:rPr>
          <w:rFonts w:cs="Arial"/>
        </w:rPr>
        <w:t xml:space="preserve">of equipment included in </w:t>
      </w:r>
      <w:r w:rsidR="00427BBA" w:rsidRPr="00041B7F">
        <w:rPr>
          <w:rFonts w:cs="Arial"/>
        </w:rPr>
        <w:t xml:space="preserve">profit </w:t>
      </w:r>
      <w:r w:rsidR="000F4D8D">
        <w:rPr>
          <w:rFonts w:cs="Arial"/>
        </w:rPr>
        <w:t>and</w:t>
      </w:r>
      <w:r w:rsidR="00427BBA" w:rsidRPr="00041B7F">
        <w:rPr>
          <w:rFonts w:cs="Arial"/>
        </w:rPr>
        <w:t xml:space="preserve"> loss account</w:t>
      </w:r>
      <w:r w:rsidRPr="00041B7F">
        <w:rPr>
          <w:rFonts w:cs="Arial"/>
        </w:rPr>
        <w:t>.</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 xml:space="preserve">Depreciation. </w:t>
      </w:r>
      <w:r w:rsidR="00E86509" w:rsidRPr="00041B7F">
        <w:rPr>
          <w:rFonts w:cs="Arial"/>
        </w:rPr>
        <w:t xml:space="preserve">Capital allowances </w:t>
      </w:r>
      <w:r w:rsidRPr="00041B7F">
        <w:rPr>
          <w:rFonts w:cs="Arial"/>
        </w:rPr>
        <w:t>granted instead.</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Costs of bringing newly acquired second</w:t>
      </w:r>
      <w:r w:rsidR="000F4D8D">
        <w:rPr>
          <w:rFonts w:cs="Arial"/>
        </w:rPr>
        <w:t>-</w:t>
      </w:r>
      <w:r w:rsidRPr="00041B7F">
        <w:rPr>
          <w:rFonts w:cs="Arial"/>
        </w:rPr>
        <w:t>hand assets to useable condition.</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3"/>
        </w:numPr>
        <w:spacing w:after="200" w:line="276" w:lineRule="auto"/>
        <w:rPr>
          <w:rFonts w:cs="Arial"/>
        </w:rPr>
      </w:pPr>
      <w:r w:rsidRPr="00041B7F">
        <w:rPr>
          <w:rFonts w:cs="Arial"/>
        </w:rPr>
        <w:t xml:space="preserve">Legal </w:t>
      </w:r>
      <w:r w:rsidR="00854AFE">
        <w:rPr>
          <w:rFonts w:cs="Arial"/>
        </w:rPr>
        <w:t>and</w:t>
      </w:r>
      <w:r w:rsidR="00854AFE" w:rsidRPr="00041B7F">
        <w:rPr>
          <w:rFonts w:cs="Arial"/>
        </w:rPr>
        <w:t xml:space="preserve"> </w:t>
      </w:r>
      <w:r w:rsidRPr="00041B7F">
        <w:rPr>
          <w:rFonts w:cs="Arial"/>
        </w:rPr>
        <w:t>professional expenses relating to capital items or breaking the law.</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3"/>
        </w:numPr>
        <w:spacing w:after="200" w:line="276" w:lineRule="auto"/>
        <w:rPr>
          <w:rFonts w:cs="Arial"/>
        </w:rPr>
      </w:pPr>
      <w:r w:rsidRPr="00041B7F">
        <w:rPr>
          <w:rFonts w:cs="Arial"/>
        </w:rPr>
        <w:t>Customer entertaining. Staff entertaining can be allowable.</w:t>
      </w:r>
      <w:r w:rsidRPr="00041B7F">
        <w:rPr>
          <w:rFonts w:cs="Arial"/>
        </w:rPr>
        <w:br/>
      </w:r>
    </w:p>
    <w:p w:rsidR="00041B7F" w:rsidRPr="00041B7F" w:rsidRDefault="00041B7F" w:rsidP="004B5E56">
      <w:pPr>
        <w:pStyle w:val="ListParagraph"/>
        <w:numPr>
          <w:ilvl w:val="0"/>
          <w:numId w:val="3"/>
        </w:numPr>
        <w:spacing w:after="200" w:line="276" w:lineRule="auto"/>
        <w:rPr>
          <w:rFonts w:cs="Arial"/>
        </w:rPr>
      </w:pPr>
      <w:r w:rsidRPr="00041B7F">
        <w:rPr>
          <w:rFonts w:cs="Arial"/>
        </w:rPr>
        <w:t>Customer gifts</w:t>
      </w:r>
      <w:r w:rsidR="00BD3842">
        <w:rPr>
          <w:rFonts w:cs="Arial"/>
        </w:rPr>
        <w:t>,</w:t>
      </w:r>
      <w:r w:rsidRPr="00041B7F">
        <w:rPr>
          <w:rFonts w:cs="Arial"/>
        </w:rPr>
        <w:t xml:space="preserve"> unless gift incorporates business advertising, cost is less than £50 per annum per customer</w:t>
      </w:r>
      <w:r w:rsidR="00BD3842">
        <w:rPr>
          <w:rFonts w:cs="Arial"/>
        </w:rPr>
        <w:t>,</w:t>
      </w:r>
      <w:r w:rsidRPr="00041B7F">
        <w:rPr>
          <w:rFonts w:cs="Arial"/>
        </w:rPr>
        <w:t xml:space="preserve"> and gift is not food, drink, tobacco or cash vouchers.</w:t>
      </w:r>
    </w:p>
    <w:p w:rsidR="00041B7F" w:rsidRPr="00DF4B1D" w:rsidRDefault="00041B7F" w:rsidP="004B5E56">
      <w:pPr>
        <w:spacing w:before="100" w:beforeAutospacing="1" w:after="100" w:afterAutospacing="1" w:line="276" w:lineRule="auto"/>
        <w:rPr>
          <w:rFonts w:ascii="Arial" w:hAnsi="Arial" w:cs="Arial"/>
          <w:b/>
          <w:sz w:val="20"/>
          <w:szCs w:val="20"/>
          <w:lang w:eastAsia="en-GB"/>
        </w:rPr>
      </w:pPr>
      <w:r w:rsidRPr="00DF4B1D">
        <w:rPr>
          <w:rFonts w:ascii="Arial" w:hAnsi="Arial" w:cs="Arial"/>
          <w:b/>
          <w:sz w:val="20"/>
          <w:szCs w:val="20"/>
          <w:lang w:eastAsia="en-GB"/>
        </w:rPr>
        <w:t>Non-assessable income</w:t>
      </w:r>
    </w:p>
    <w:p w:rsidR="00041B7F" w:rsidRPr="00041B7F" w:rsidRDefault="00041B7F" w:rsidP="004B5E56">
      <w:pPr>
        <w:pStyle w:val="ListParagraph"/>
        <w:numPr>
          <w:ilvl w:val="0"/>
          <w:numId w:val="4"/>
        </w:numPr>
        <w:spacing w:after="200" w:line="276" w:lineRule="auto"/>
        <w:rPr>
          <w:rFonts w:cs="Arial"/>
        </w:rPr>
      </w:pPr>
      <w:r w:rsidRPr="00DF4B1D">
        <w:rPr>
          <w:rFonts w:cs="Arial"/>
        </w:rPr>
        <w:t xml:space="preserve">Income taxed </w:t>
      </w:r>
      <w:r w:rsidRPr="00041B7F">
        <w:rPr>
          <w:rFonts w:cs="Arial"/>
        </w:rPr>
        <w:t>in any other way</w:t>
      </w:r>
      <w:r w:rsidR="00921C44">
        <w:rPr>
          <w:rFonts w:cs="Arial"/>
        </w:rPr>
        <w:t>,</w:t>
      </w:r>
      <w:r w:rsidRPr="00041B7F">
        <w:rPr>
          <w:rFonts w:cs="Arial"/>
        </w:rPr>
        <w:t xml:space="preserve"> e.g. interest or property income for individuals.</w:t>
      </w:r>
      <w:r w:rsidRPr="00041B7F">
        <w:rPr>
          <w:rFonts w:cs="Arial"/>
        </w:rPr>
        <w:br/>
      </w:r>
    </w:p>
    <w:p w:rsidR="00041B7F" w:rsidRPr="00041B7F" w:rsidRDefault="00041B7F" w:rsidP="004B5E56">
      <w:pPr>
        <w:pStyle w:val="ListParagraph"/>
        <w:numPr>
          <w:ilvl w:val="0"/>
          <w:numId w:val="4"/>
        </w:numPr>
        <w:spacing w:after="200" w:line="276" w:lineRule="auto"/>
        <w:rPr>
          <w:rFonts w:cs="Arial"/>
        </w:rPr>
      </w:pPr>
      <w:r w:rsidRPr="00041B7F">
        <w:rPr>
          <w:rFonts w:cs="Arial"/>
        </w:rPr>
        <w:t>Profits on sale of fixed assets.</w:t>
      </w:r>
    </w:p>
    <w:p w:rsidR="00041B7F" w:rsidRPr="00DF4B1D" w:rsidRDefault="00041B7F" w:rsidP="004B5E56">
      <w:pPr>
        <w:spacing w:line="276" w:lineRule="auto"/>
      </w:pPr>
    </w:p>
    <w:p w:rsidR="00041B7F" w:rsidRDefault="00041B7F" w:rsidP="004B5E56">
      <w:pPr>
        <w:spacing w:line="276" w:lineRule="auto"/>
        <w:rPr>
          <w:sz w:val="20"/>
          <w:szCs w:val="20"/>
        </w:rPr>
      </w:pPr>
      <w:r>
        <w:rPr>
          <w:sz w:val="20"/>
          <w:szCs w:val="20"/>
        </w:rPr>
        <w:br w:type="page"/>
      </w:r>
    </w:p>
    <w:p w:rsidR="00041B7F" w:rsidRPr="00F90E20" w:rsidRDefault="00041B7F" w:rsidP="004B5E56">
      <w:pPr>
        <w:spacing w:line="276" w:lineRule="auto"/>
        <w:rPr>
          <w:rFonts w:ascii="Arial" w:hAnsi="Arial" w:cs="Arial"/>
          <w:b/>
        </w:rPr>
      </w:pPr>
      <w:r w:rsidRPr="00F90E20">
        <w:rPr>
          <w:rFonts w:ascii="Arial" w:hAnsi="Arial" w:cs="Arial"/>
          <w:b/>
        </w:rPr>
        <w:lastRenderedPageBreak/>
        <w:t>Unincorporated businesses – trading income</w:t>
      </w:r>
    </w:p>
    <w:p w:rsidR="00041B7F" w:rsidRPr="00A71D64" w:rsidRDefault="00041B7F" w:rsidP="004B5E56">
      <w:pPr>
        <w:spacing w:line="276" w:lineRule="auto"/>
        <w:rPr>
          <w:rFonts w:ascii="Arial" w:hAnsi="Arial" w:cs="Arial"/>
          <w:sz w:val="22"/>
          <w:szCs w:val="22"/>
        </w:rPr>
      </w:pPr>
    </w:p>
    <w:p w:rsidR="00041B7F" w:rsidRDefault="00041B7F" w:rsidP="004B5E56">
      <w:pPr>
        <w:spacing w:line="276" w:lineRule="auto"/>
        <w:rPr>
          <w:rFonts w:ascii="Arial" w:hAnsi="Arial" w:cs="Arial"/>
          <w:sz w:val="20"/>
          <w:szCs w:val="20"/>
        </w:rPr>
      </w:pPr>
      <w:r w:rsidRPr="00F90E20">
        <w:rPr>
          <w:rFonts w:ascii="Arial" w:hAnsi="Arial" w:cs="Arial"/>
          <w:sz w:val="20"/>
          <w:szCs w:val="20"/>
        </w:rPr>
        <w:t>Trading income calculated for each period of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708"/>
      </w:tblGrid>
      <w:tr w:rsidR="00041B7F" w:rsidTr="00041B7F">
        <w:trPr>
          <w:cnfStyle w:val="100000000000" w:firstRow="1" w:lastRow="0" w:firstColumn="0" w:lastColumn="0" w:oddVBand="0" w:evenVBand="0" w:oddHBand="0" w:evenHBand="0" w:firstRowFirstColumn="0" w:firstRowLastColumn="0" w:lastRowFirstColumn="0" w:lastRowLastColumn="0"/>
          <w:trHeight w:val="340"/>
        </w:trPr>
        <w:tc>
          <w:tcPr>
            <w:tcW w:w="5070" w:type="dxa"/>
            <w:shd w:val="clear" w:color="auto" w:fill="auto"/>
            <w:vAlign w:val="center"/>
          </w:tcPr>
          <w:p w:rsidR="00041B7F" w:rsidRDefault="00041B7F" w:rsidP="004B5E56">
            <w:pPr>
              <w:spacing w:line="276" w:lineRule="auto"/>
              <w:rPr>
                <w:rFonts w:ascii="Arial" w:hAnsi="Arial" w:cs="Arial"/>
                <w:sz w:val="20"/>
                <w:szCs w:val="20"/>
              </w:rPr>
            </w:pPr>
          </w:p>
        </w:tc>
        <w:tc>
          <w:tcPr>
            <w:tcW w:w="708" w:type="dxa"/>
            <w:shd w:val="clear" w:color="auto" w:fill="auto"/>
            <w:vAlign w:val="center"/>
          </w:tcPr>
          <w:p w:rsidR="00041B7F" w:rsidRPr="00F47F04" w:rsidRDefault="00041B7F" w:rsidP="004B5E56">
            <w:pPr>
              <w:spacing w:line="276" w:lineRule="auto"/>
              <w:jc w:val="center"/>
              <w:rPr>
                <w:rFonts w:ascii="Arial" w:hAnsi="Arial" w:cs="Arial"/>
                <w:b/>
                <w:sz w:val="20"/>
                <w:szCs w:val="20"/>
              </w:rPr>
            </w:pPr>
            <w:r w:rsidRPr="00F47F04">
              <w:rPr>
                <w:rFonts w:ascii="Arial" w:hAnsi="Arial" w:cs="Arial"/>
                <w:b/>
                <w:sz w:val="20"/>
                <w:szCs w:val="20"/>
              </w:rPr>
              <w:t>£</w:t>
            </w:r>
          </w:p>
        </w:tc>
      </w:tr>
      <w:tr w:rsid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Adjusted accounting profit</w:t>
            </w:r>
          </w:p>
        </w:tc>
        <w:tc>
          <w:tcPr>
            <w:tcW w:w="708" w:type="dxa"/>
            <w:shd w:val="clear" w:color="auto" w:fill="auto"/>
            <w:vAlign w:val="center"/>
          </w:tcPr>
          <w:p w:rsidR="00041B7F" w:rsidRDefault="00041B7F" w:rsidP="004B5E56">
            <w:pPr>
              <w:spacing w:line="276" w:lineRule="auto"/>
              <w:jc w:val="center"/>
              <w:rPr>
                <w:rFonts w:ascii="Arial" w:hAnsi="Arial" w:cs="Arial"/>
                <w:sz w:val="20"/>
                <w:szCs w:val="20"/>
              </w:rPr>
            </w:pPr>
            <w:r w:rsidRPr="00F90E20">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 xml:space="preserve">Less:   Capital </w:t>
            </w:r>
            <w:r w:rsidR="00701E9F" w:rsidRPr="00041B7F">
              <w:rPr>
                <w:rFonts w:ascii="Arial" w:hAnsi="Arial" w:cs="Arial"/>
                <w:sz w:val="20"/>
                <w:szCs w:val="20"/>
              </w:rPr>
              <w:t>allowances</w:t>
            </w:r>
            <w:r w:rsidRPr="00041B7F">
              <w:rPr>
                <w:rFonts w:ascii="Arial" w:hAnsi="Arial" w:cs="Arial"/>
                <w:sz w:val="20"/>
                <w:szCs w:val="20"/>
              </w:rPr>
              <w:t>:</w:t>
            </w:r>
          </w:p>
        </w:tc>
        <w:tc>
          <w:tcPr>
            <w:tcW w:w="708" w:type="dxa"/>
            <w:shd w:val="clear" w:color="auto" w:fill="auto"/>
            <w:vAlign w:val="center"/>
          </w:tcPr>
          <w:p w:rsidR="00041B7F" w:rsidRPr="00041B7F" w:rsidRDefault="00041B7F" w:rsidP="004B5E56">
            <w:pPr>
              <w:spacing w:line="276" w:lineRule="auto"/>
              <w:jc w:val="center"/>
              <w:rPr>
                <w:rFonts w:ascii="Arial" w:hAnsi="Arial" w:cs="Arial"/>
                <w:b/>
                <w:sz w:val="20"/>
                <w:szCs w:val="20"/>
              </w:rPr>
            </w:pP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 xml:space="preserve">Plant and </w:t>
            </w:r>
            <w:r w:rsidR="00701E9F" w:rsidRPr="00041B7F">
              <w:rPr>
                <w:rFonts w:ascii="Arial" w:hAnsi="Arial" w:cs="Arial"/>
                <w:b/>
                <w:sz w:val="20"/>
                <w:szCs w:val="20"/>
              </w:rPr>
              <w:t>machinery</w:t>
            </w:r>
          </w:p>
        </w:tc>
        <w:tc>
          <w:tcPr>
            <w:tcW w:w="708" w:type="dxa"/>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 xml:space="preserve">Plus:   Balancing </w:t>
            </w:r>
            <w:r w:rsidR="00701E9F" w:rsidRPr="00041B7F">
              <w:rPr>
                <w:rFonts w:ascii="Arial" w:hAnsi="Arial" w:cs="Arial"/>
                <w:sz w:val="20"/>
                <w:szCs w:val="20"/>
              </w:rPr>
              <w:t>charges</w:t>
            </w:r>
          </w:p>
        </w:tc>
        <w:tc>
          <w:tcPr>
            <w:tcW w:w="708" w:type="dxa"/>
            <w:tcBorders>
              <w:bottom w:val="single" w:sz="4" w:space="0" w:color="auto"/>
            </w:tcBorders>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r w:rsidR="00041B7F" w:rsidRPr="00041B7F" w:rsidTr="00041B7F">
        <w:trPr>
          <w:trHeight w:val="340"/>
        </w:trPr>
        <w:tc>
          <w:tcPr>
            <w:tcW w:w="5070" w:type="dxa"/>
            <w:shd w:val="clear" w:color="auto" w:fill="auto"/>
            <w:vAlign w:val="center"/>
          </w:tcPr>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Trading income for the period of account</w:t>
            </w:r>
          </w:p>
        </w:tc>
        <w:tc>
          <w:tcPr>
            <w:tcW w:w="708" w:type="dxa"/>
            <w:tcBorders>
              <w:top w:val="single" w:sz="4" w:space="0" w:color="auto"/>
              <w:bottom w:val="double" w:sz="4" w:space="0" w:color="auto"/>
            </w:tcBorders>
            <w:shd w:val="clear" w:color="auto" w:fill="auto"/>
            <w:vAlign w:val="center"/>
          </w:tcPr>
          <w:p w:rsidR="00041B7F" w:rsidRPr="00041B7F" w:rsidRDefault="00041B7F" w:rsidP="004B5E56">
            <w:pPr>
              <w:spacing w:line="276" w:lineRule="auto"/>
              <w:jc w:val="center"/>
              <w:rPr>
                <w:rFonts w:ascii="Arial" w:hAnsi="Arial" w:cs="Arial"/>
                <w:sz w:val="20"/>
                <w:szCs w:val="20"/>
              </w:rPr>
            </w:pPr>
            <w:r w:rsidRPr="00041B7F">
              <w:rPr>
                <w:rFonts w:ascii="Arial" w:hAnsi="Arial" w:cs="Arial"/>
                <w:sz w:val="20"/>
                <w:szCs w:val="20"/>
              </w:rPr>
              <w:t>X</w:t>
            </w:r>
          </w:p>
        </w:tc>
      </w:tr>
    </w:tbl>
    <w:p w:rsidR="00041B7F" w:rsidRPr="00041B7F" w:rsidRDefault="00041B7F" w:rsidP="004B5E56">
      <w:pPr>
        <w:spacing w:line="276" w:lineRule="auto"/>
        <w:rPr>
          <w:rFonts w:ascii="Arial" w:hAnsi="Arial" w:cs="Arial"/>
          <w:b/>
          <w:sz w:val="20"/>
          <w:szCs w:val="20"/>
        </w:rPr>
      </w:pPr>
    </w:p>
    <w:p w:rsidR="00041B7F" w:rsidRPr="00041B7F" w:rsidRDefault="00041B7F" w:rsidP="004B5E56">
      <w:pPr>
        <w:spacing w:line="276" w:lineRule="auto"/>
        <w:rPr>
          <w:rFonts w:ascii="Arial" w:hAnsi="Arial" w:cs="Arial"/>
          <w:b/>
          <w:sz w:val="20"/>
          <w:szCs w:val="20"/>
          <w:lang w:eastAsia="en-GB"/>
        </w:rPr>
      </w:pPr>
      <w:r w:rsidRPr="00041B7F">
        <w:rPr>
          <w:rFonts w:ascii="Arial" w:hAnsi="Arial" w:cs="Arial"/>
          <w:b/>
          <w:sz w:val="20"/>
          <w:szCs w:val="20"/>
        </w:rPr>
        <w:br/>
        <w:t>Expenses charged in the accounts which are not allowable as trading expenses</w:t>
      </w:r>
      <w:r w:rsidRPr="00041B7F">
        <w:rPr>
          <w:rFonts w:ascii="Arial" w:hAnsi="Arial" w:cs="Arial"/>
          <w:b/>
          <w:sz w:val="20"/>
          <w:szCs w:val="20"/>
          <w:lang w:eastAsia="en-GB"/>
        </w:rPr>
        <w:t xml:space="preserve"> </w:t>
      </w:r>
    </w:p>
    <w:p w:rsidR="00041B7F" w:rsidRPr="00041B7F" w:rsidRDefault="00041B7F" w:rsidP="004B5E56">
      <w:pPr>
        <w:spacing w:line="276" w:lineRule="auto"/>
        <w:rPr>
          <w:rFonts w:ascii="Arial" w:hAnsi="Arial" w:cs="Arial"/>
          <w:b/>
          <w:sz w:val="20"/>
          <w:szCs w:val="20"/>
          <w:lang w:eastAsia="en-GB"/>
        </w:rPr>
      </w:pPr>
    </w:p>
    <w:p w:rsidR="00041B7F" w:rsidRPr="00041B7F" w:rsidRDefault="00041B7F" w:rsidP="004B5E56">
      <w:pPr>
        <w:pStyle w:val="ListParagraph"/>
        <w:numPr>
          <w:ilvl w:val="0"/>
          <w:numId w:val="5"/>
        </w:numPr>
        <w:spacing w:after="200" w:line="276" w:lineRule="auto"/>
        <w:rPr>
          <w:rFonts w:cs="Arial"/>
        </w:rPr>
      </w:pPr>
      <w:r w:rsidRPr="00041B7F">
        <w:rPr>
          <w:rFonts w:cs="Arial"/>
        </w:rPr>
        <w:t xml:space="preserve">See </w:t>
      </w:r>
      <w:r w:rsidR="00E60B9E" w:rsidRPr="00041B7F">
        <w:rPr>
          <w:rFonts w:cs="Arial"/>
        </w:rPr>
        <w:t xml:space="preserve">adjustment </w:t>
      </w:r>
      <w:r w:rsidRPr="00041B7F">
        <w:rPr>
          <w:rFonts w:cs="Arial"/>
        </w:rPr>
        <w:t>of profits – sole</w:t>
      </w:r>
      <w:r w:rsidR="00911D6B">
        <w:rPr>
          <w:rFonts w:cs="Arial"/>
        </w:rPr>
        <w:t xml:space="preserve"> </w:t>
      </w:r>
      <w:r w:rsidRPr="00041B7F">
        <w:rPr>
          <w:rFonts w:cs="Arial"/>
        </w:rPr>
        <w:t>traders, partnerships and companies</w:t>
      </w:r>
    </w:p>
    <w:p w:rsidR="00041B7F" w:rsidRPr="00041B7F" w:rsidRDefault="00041B7F" w:rsidP="004B5E56">
      <w:pPr>
        <w:pStyle w:val="ListParagraph"/>
        <w:numPr>
          <w:ilvl w:val="0"/>
          <w:numId w:val="5"/>
        </w:numPr>
        <w:spacing w:after="200" w:line="276" w:lineRule="auto"/>
        <w:rPr>
          <w:rFonts w:cs="Arial"/>
        </w:rPr>
      </w:pPr>
      <w:r w:rsidRPr="00041B7F">
        <w:rPr>
          <w:rFonts w:cs="Arial"/>
        </w:rPr>
        <w:t>Transactions with the owner of the business. For example:</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Add back salary paid to owner. Salaries paid to family members do not need to be added back. </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Private expenditure included in accounts.</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Class 2 </w:t>
      </w:r>
      <w:r w:rsidR="00E91854">
        <w:rPr>
          <w:rFonts w:cs="Arial"/>
        </w:rPr>
        <w:t>National Insurance</w:t>
      </w:r>
      <w:r w:rsidR="00E91854" w:rsidRPr="00041B7F">
        <w:rPr>
          <w:rFonts w:cs="Arial"/>
        </w:rPr>
        <w:t xml:space="preserve"> </w:t>
      </w:r>
      <w:r w:rsidRPr="00041B7F">
        <w:rPr>
          <w:rFonts w:cs="Arial"/>
        </w:rPr>
        <w:t>contributions.</w:t>
      </w:r>
    </w:p>
    <w:p w:rsidR="00041B7F" w:rsidRPr="00041B7F" w:rsidRDefault="00041B7F" w:rsidP="00BE68BE">
      <w:pPr>
        <w:pStyle w:val="ListParagraph"/>
        <w:numPr>
          <w:ilvl w:val="1"/>
          <w:numId w:val="5"/>
        </w:numPr>
        <w:spacing w:after="200" w:line="276" w:lineRule="auto"/>
        <w:ind w:left="1134"/>
        <w:rPr>
          <w:rFonts w:cs="Arial"/>
        </w:rPr>
      </w:pPr>
      <w:r w:rsidRPr="00041B7F">
        <w:rPr>
          <w:rFonts w:cs="Arial"/>
        </w:rPr>
        <w:t xml:space="preserve">Goods taken for own use. </w:t>
      </w:r>
    </w:p>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Private use assets</w:t>
      </w:r>
    </w:p>
    <w:p w:rsidR="00041B7F" w:rsidRPr="00041B7F" w:rsidRDefault="00041B7F" w:rsidP="004B5E56">
      <w:pPr>
        <w:pStyle w:val="ListParagraph"/>
        <w:numPr>
          <w:ilvl w:val="0"/>
          <w:numId w:val="6"/>
        </w:numPr>
        <w:spacing w:after="200" w:line="276" w:lineRule="auto"/>
        <w:rPr>
          <w:rFonts w:cs="Arial"/>
        </w:rPr>
      </w:pPr>
      <w:r w:rsidRPr="00041B7F">
        <w:rPr>
          <w:rFonts w:cs="Arial"/>
        </w:rPr>
        <w:t>Private use assets have separate column in Capital Allowance computation.</w:t>
      </w:r>
    </w:p>
    <w:p w:rsidR="00041B7F" w:rsidRPr="00041B7F" w:rsidRDefault="00041B7F" w:rsidP="004B5E56">
      <w:pPr>
        <w:pStyle w:val="ListParagraph"/>
        <w:numPr>
          <w:ilvl w:val="0"/>
          <w:numId w:val="6"/>
        </w:numPr>
        <w:spacing w:after="200" w:line="276" w:lineRule="auto"/>
        <w:rPr>
          <w:rFonts w:cs="Arial"/>
        </w:rPr>
      </w:pPr>
      <w:r w:rsidRPr="00041B7F">
        <w:rPr>
          <w:rFonts w:cs="Arial"/>
        </w:rPr>
        <w:t>Disallow private use % of WDA/AIA/FYA.</w:t>
      </w:r>
    </w:p>
    <w:p w:rsidR="00041B7F" w:rsidRPr="00041B7F" w:rsidRDefault="00041B7F" w:rsidP="004B5E56">
      <w:pPr>
        <w:spacing w:line="276" w:lineRule="auto"/>
        <w:rPr>
          <w:rFonts w:ascii="Arial" w:hAnsi="Arial" w:cs="Arial"/>
          <w:b/>
          <w:sz w:val="20"/>
          <w:szCs w:val="20"/>
        </w:rPr>
      </w:pPr>
      <w:r w:rsidRPr="00041B7F">
        <w:rPr>
          <w:rFonts w:ascii="Arial" w:hAnsi="Arial" w:cs="Arial"/>
          <w:b/>
          <w:sz w:val="20"/>
          <w:szCs w:val="20"/>
        </w:rPr>
        <w:t>Capital allowances – business cessation</w:t>
      </w:r>
    </w:p>
    <w:p w:rsidR="00041B7F" w:rsidRPr="00041B7F" w:rsidRDefault="00041B7F" w:rsidP="004B5E56">
      <w:pPr>
        <w:pStyle w:val="ListParagraph"/>
        <w:numPr>
          <w:ilvl w:val="0"/>
          <w:numId w:val="6"/>
        </w:numPr>
        <w:spacing w:after="200" w:line="276" w:lineRule="auto"/>
        <w:rPr>
          <w:rFonts w:cs="Arial"/>
        </w:rPr>
      </w:pPr>
      <w:r w:rsidRPr="00041B7F">
        <w:rPr>
          <w:rFonts w:cs="Arial"/>
        </w:rPr>
        <w:t>In the cessation period of account, no WDA/AIA/FYA.</w:t>
      </w:r>
    </w:p>
    <w:p w:rsidR="00041B7F" w:rsidRPr="00041B7F" w:rsidRDefault="00041B7F" w:rsidP="004B5E56">
      <w:pPr>
        <w:pStyle w:val="ListParagraph"/>
        <w:numPr>
          <w:ilvl w:val="0"/>
          <w:numId w:val="6"/>
        </w:numPr>
        <w:spacing w:after="200" w:line="276" w:lineRule="auto"/>
        <w:rPr>
          <w:rFonts w:cs="Arial"/>
        </w:rPr>
      </w:pPr>
      <w:r w:rsidRPr="00041B7F">
        <w:rPr>
          <w:rFonts w:cs="Arial"/>
        </w:rPr>
        <w:t xml:space="preserve">Include additions </w:t>
      </w:r>
      <w:r w:rsidR="00854AFE">
        <w:rPr>
          <w:rFonts w:cs="Arial"/>
        </w:rPr>
        <w:t>and</w:t>
      </w:r>
      <w:r w:rsidR="00854AFE" w:rsidRPr="00041B7F">
        <w:rPr>
          <w:rFonts w:cs="Arial"/>
        </w:rPr>
        <w:t xml:space="preserve"> </w:t>
      </w:r>
      <w:r w:rsidRPr="00041B7F">
        <w:rPr>
          <w:rFonts w:cs="Arial"/>
        </w:rPr>
        <w:t>disposals as normal. Any asset taken over by owner, treat as a disposal at market value. Balancing adjustment made (balancing charge or balancing allowance).</w:t>
      </w:r>
    </w:p>
    <w:p w:rsidR="00041B7F" w:rsidRPr="00041B7F" w:rsidRDefault="00041B7F" w:rsidP="004B5E56">
      <w:pPr>
        <w:spacing w:line="276" w:lineRule="auto"/>
        <w:rPr>
          <w:b/>
        </w:rPr>
      </w:pPr>
    </w:p>
    <w:p w:rsidR="00041B7F" w:rsidRPr="008C2387" w:rsidRDefault="00041B7F" w:rsidP="004B5E56">
      <w:pPr>
        <w:spacing w:line="276" w:lineRule="auto"/>
        <w:rPr>
          <w:rFonts w:ascii="Arial" w:hAnsi="Arial" w:cs="Arial"/>
          <w:b/>
        </w:rPr>
      </w:pPr>
      <w:r>
        <w:rPr>
          <w:sz w:val="20"/>
          <w:szCs w:val="20"/>
        </w:rPr>
        <w:br w:type="page"/>
      </w:r>
      <w:r w:rsidRPr="008C2387">
        <w:rPr>
          <w:rFonts w:ascii="Arial" w:hAnsi="Arial" w:cs="Arial"/>
          <w:b/>
        </w:rPr>
        <w:t>Sole</w:t>
      </w:r>
      <w:r w:rsidR="00911D6B">
        <w:rPr>
          <w:rFonts w:ascii="Arial" w:hAnsi="Arial" w:cs="Arial"/>
          <w:b/>
        </w:rPr>
        <w:t xml:space="preserve"> </w:t>
      </w:r>
      <w:r w:rsidRPr="008C2387">
        <w:rPr>
          <w:rFonts w:ascii="Arial" w:hAnsi="Arial" w:cs="Arial"/>
          <w:b/>
        </w:rPr>
        <w:t>traders – basis periods</w:t>
      </w:r>
      <w:r w:rsidRPr="008C2387">
        <w:rPr>
          <w:rFonts w:ascii="Arial" w:hAnsi="Arial" w:cs="Arial"/>
          <w:b/>
        </w:rPr>
        <w:br/>
      </w: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Tax year – 2016/17 tax year runs from 6 April 2016 to 5 April 2017</w:t>
      </w:r>
    </w:p>
    <w:p w:rsidR="00041B7F" w:rsidRDefault="00041B7F" w:rsidP="004B5E56">
      <w:pPr>
        <w:spacing w:line="276" w:lineRule="auto"/>
        <w:rPr>
          <w:rFonts w:ascii="Arial" w:hAnsi="Arial" w:cs="Arial"/>
          <w:b/>
          <w:sz w:val="20"/>
          <w:szCs w:val="20"/>
        </w:rPr>
      </w:pPr>
    </w:p>
    <w:p w:rsidR="00041B7F" w:rsidRDefault="00041B7F" w:rsidP="004B5E56">
      <w:pPr>
        <w:spacing w:line="276" w:lineRule="auto"/>
        <w:rPr>
          <w:rFonts w:ascii="Arial" w:hAnsi="Arial" w:cs="Arial"/>
          <w:b/>
          <w:sz w:val="20"/>
          <w:szCs w:val="20"/>
        </w:rPr>
      </w:pPr>
      <w:r w:rsidRPr="008C2387">
        <w:rPr>
          <w:rFonts w:ascii="Arial" w:hAnsi="Arial" w:cs="Arial"/>
          <w:b/>
          <w:sz w:val="20"/>
          <w:szCs w:val="20"/>
        </w:rPr>
        <w:t>Basis period rules</w:t>
      </w:r>
    </w:p>
    <w:p w:rsidR="00041B7F" w:rsidRPr="00041B7F" w:rsidRDefault="00041B7F" w:rsidP="004B5E56">
      <w:pPr>
        <w:pStyle w:val="ListParagraph"/>
        <w:numPr>
          <w:ilvl w:val="0"/>
          <w:numId w:val="7"/>
        </w:numPr>
        <w:spacing w:line="276" w:lineRule="auto"/>
      </w:pPr>
      <w:r w:rsidRPr="00041B7F">
        <w:rPr>
          <w:rFonts w:cs="Arial"/>
        </w:rPr>
        <w:t xml:space="preserve">First </w:t>
      </w:r>
      <w:r w:rsidR="007B4C8A" w:rsidRPr="00041B7F">
        <w:rPr>
          <w:rFonts w:cs="Arial"/>
        </w:rPr>
        <w:t xml:space="preserve">year </w:t>
      </w:r>
      <w:r w:rsidRPr="00041B7F">
        <w:rPr>
          <w:rFonts w:cs="Arial"/>
        </w:rPr>
        <w:t>– runs from start date of trading to the next 5 April.</w:t>
      </w:r>
    </w:p>
    <w:p w:rsidR="00041B7F" w:rsidRPr="00041B7F" w:rsidRDefault="00041B7F" w:rsidP="004B5E56">
      <w:pPr>
        <w:pStyle w:val="ListParagraph"/>
        <w:numPr>
          <w:ilvl w:val="0"/>
          <w:numId w:val="7"/>
        </w:numPr>
        <w:spacing w:line="276" w:lineRule="auto"/>
      </w:pPr>
      <w:r w:rsidRPr="00041B7F">
        <w:rPr>
          <w:rFonts w:cs="Arial"/>
        </w:rPr>
        <w:t xml:space="preserve">Second </w:t>
      </w:r>
      <w:r w:rsidR="007B4C8A" w:rsidRPr="00041B7F">
        <w:rPr>
          <w:rFonts w:cs="Arial"/>
        </w:rPr>
        <w:t>year and third year</w:t>
      </w:r>
      <w:r w:rsidRPr="00041B7F">
        <w:rPr>
          <w:rFonts w:cs="Arial"/>
        </w:rPr>
        <w:t>:</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483"/>
        <w:gridCol w:w="134"/>
        <w:gridCol w:w="279"/>
        <w:gridCol w:w="12"/>
        <w:gridCol w:w="649"/>
        <w:gridCol w:w="60"/>
        <w:gridCol w:w="567"/>
        <w:gridCol w:w="141"/>
        <w:gridCol w:w="426"/>
        <w:gridCol w:w="396"/>
        <w:gridCol w:w="171"/>
        <w:gridCol w:w="78"/>
        <w:gridCol w:w="63"/>
        <w:gridCol w:w="709"/>
        <w:gridCol w:w="1418"/>
        <w:gridCol w:w="425"/>
        <w:gridCol w:w="567"/>
        <w:gridCol w:w="800"/>
        <w:gridCol w:w="72"/>
        <w:gridCol w:w="971"/>
      </w:tblGrid>
      <w:tr w:rsidR="00041B7F" w:rsidRPr="00F76927" w:rsidTr="00041B7F">
        <w:trPr>
          <w:cnfStyle w:val="100000000000" w:firstRow="1" w:lastRow="0" w:firstColumn="0" w:lastColumn="0" w:oddVBand="0" w:evenVBand="0" w:oddHBand="0" w:evenHBand="0" w:firstRowFirstColumn="0" w:firstRowLastColumn="0" w:lastRowFirstColumn="0" w:lastRowLastColumn="0"/>
          <w:trHeight w:val="816"/>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721" w:type="dxa"/>
            <w:gridSpan w:val="3"/>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vMerge w:val="restart"/>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Yes</w:t>
            </w: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Is there a period of account ending in the second tax year?</w:t>
            </w:r>
          </w:p>
        </w:tc>
        <w:tc>
          <w:tcPr>
            <w:tcW w:w="425"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Merge w:val="restart"/>
            <w:tcBorders>
              <w:bottom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No</w:t>
            </w:r>
          </w:p>
        </w:tc>
        <w:tc>
          <w:tcPr>
            <w:tcW w:w="800"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43" w:type="dxa"/>
            <w:gridSpan w:val="2"/>
            <w:shd w:val="clear" w:color="auto" w:fill="auto"/>
            <w:vAlign w:val="center"/>
          </w:tcPr>
          <w:p w:rsidR="00041B7F" w:rsidRPr="00E347A5" w:rsidRDefault="00041B7F" w:rsidP="004B5E56">
            <w:pPr>
              <w:spacing w:line="276" w:lineRule="auto"/>
              <w:rPr>
                <w:rFonts w:ascii="Arial" w:hAnsi="Arial" w:cs="Arial"/>
                <w:sz w:val="20"/>
                <w:szCs w:val="20"/>
              </w:rPr>
            </w:pPr>
          </w:p>
        </w:tc>
      </w:tr>
      <w:tr w:rsidR="00041B7F" w:rsidRPr="00F76927" w:rsidTr="00041B7F">
        <w:trPr>
          <w:trHeight w:val="840"/>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721" w:type="dxa"/>
            <w:gridSpan w:val="3"/>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rsidR="00041B7F" w:rsidRPr="00523CAE" w:rsidRDefault="00041B7F" w:rsidP="004B5E56">
            <w:pPr>
              <w:spacing w:line="276" w:lineRule="auto"/>
              <w:rPr>
                <w:rFonts w:ascii="Arial" w:hAnsi="Arial" w:cs="Arial"/>
                <w:sz w:val="20"/>
                <w:szCs w:val="20"/>
                <w:highlight w:val="yellow"/>
              </w:rPr>
            </w:pPr>
          </w:p>
        </w:tc>
        <w:tc>
          <w:tcPr>
            <w:tcW w:w="567" w:type="dxa"/>
            <w:gridSpan w:val="2"/>
            <w:vMerge/>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top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tcBorders>
              <w:top w:val="single" w:sz="4" w:space="0" w:color="auto"/>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Merge/>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800"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43"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263"/>
        </w:trPr>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How long is the period of account?</w:t>
            </w:r>
          </w:p>
        </w:tc>
        <w:tc>
          <w:tcPr>
            <w:tcW w:w="567" w:type="dxa"/>
            <w:gridSpan w:val="2"/>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right w:val="single" w:sz="4" w:space="0" w:color="auto"/>
            </w:tcBorders>
            <w:vAlign w:val="center"/>
          </w:tcPr>
          <w:p w:rsidR="00041B7F" w:rsidRPr="00F76927" w:rsidRDefault="00041B7F" w:rsidP="004B5E56">
            <w:pPr>
              <w:spacing w:line="276"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runs from 6 April to 5 April in second tax year.</w:t>
            </w:r>
          </w:p>
        </w:tc>
      </w:tr>
      <w:tr w:rsidR="00041B7F" w:rsidRPr="00F76927" w:rsidTr="00041B7F">
        <w:tc>
          <w:tcPr>
            <w:tcW w:w="794"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2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0FEC49B3" wp14:editId="76D40B93">
                      <wp:simplePos x="0" y="0"/>
                      <wp:positionH relativeFrom="column">
                        <wp:posOffset>479425</wp:posOffset>
                      </wp:positionH>
                      <wp:positionV relativeFrom="paragraph">
                        <wp:posOffset>-635</wp:posOffset>
                      </wp:positionV>
                      <wp:extent cx="0" cy="2971165"/>
                      <wp:effectExtent l="95250" t="0" r="57150" b="57785"/>
                      <wp:wrapNone/>
                      <wp:docPr id="15" name="Straight Arrow Connector 15"/>
                      <wp:cNvGraphicFramePr/>
                      <a:graphic xmlns:a="http://schemas.openxmlformats.org/drawingml/2006/main">
                        <a:graphicData uri="http://schemas.microsoft.com/office/word/2010/wordprocessingShape">
                          <wps:wsp>
                            <wps:cNvCnPr/>
                            <wps:spPr>
                              <a:xfrm>
                                <a:off x="0" y="0"/>
                                <a:ext cx="0" cy="2971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7.75pt;margin-top:-.05pt;width:0;height:2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" strokecolor="black [3213]">
                      <v:stroke endarrow="open"/>
                    </v:shape>
                  </w:pict>
                </mc:Fallback>
              </mc:AlternateContent>
            </w: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2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708" w:type="dxa"/>
            <w:gridSpan w:val="4"/>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709"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637"/>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12 months</w:t>
            </w:r>
          </w:p>
        </w:tc>
        <w:tc>
          <w:tcPr>
            <w:tcW w:w="425" w:type="dxa"/>
            <w:gridSpan w:val="3"/>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Less than 12 months</w:t>
            </w:r>
          </w:p>
        </w:tc>
        <w:tc>
          <w:tcPr>
            <w:tcW w:w="567"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More than 12 months</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3FCD0568" wp14:editId="37553C20">
                      <wp:simplePos x="0" y="0"/>
                      <wp:positionH relativeFrom="column">
                        <wp:posOffset>-67310</wp:posOffset>
                      </wp:positionH>
                      <wp:positionV relativeFrom="paragraph">
                        <wp:posOffset>18415</wp:posOffset>
                      </wp:positionV>
                      <wp:extent cx="0" cy="94615"/>
                      <wp:effectExtent l="95250" t="0" r="114300" b="57785"/>
                      <wp:wrapNone/>
                      <wp:docPr id="5" name="Straight Arrow Connector 5"/>
                      <wp:cNvGraphicFramePr/>
                      <a:graphic xmlns:a="http://schemas.openxmlformats.org/drawingml/2006/main">
                        <a:graphicData uri="http://schemas.microsoft.com/office/word/2010/wordprocessingShape">
                          <wps:wsp>
                            <wps:cNvCnPr/>
                            <wps:spPr>
                              <a:xfrm>
                                <a:off x="0" y="0"/>
                                <a:ext cx="0" cy="94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5.3pt;margin-top:1.45pt;width:0;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" strokecolor="black [3213]">
                      <v:stroke endarrow="open"/>
                    </v:shape>
                  </w:pict>
                </mc:Fallback>
              </mc:AlternateContent>
            </w:r>
          </w:p>
        </w:tc>
        <w:tc>
          <w:tcPr>
            <w:tcW w:w="413"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5BF06D31" wp14:editId="3199DB46">
                      <wp:simplePos x="0" y="0"/>
                      <wp:positionH relativeFrom="column">
                        <wp:posOffset>347345</wp:posOffset>
                      </wp:positionH>
                      <wp:positionV relativeFrom="paragraph">
                        <wp:posOffset>23495</wp:posOffset>
                      </wp:positionV>
                      <wp:extent cx="0" cy="94615"/>
                      <wp:effectExtent l="95250" t="0" r="114300" b="57785"/>
                      <wp:wrapNone/>
                      <wp:docPr id="6" name="Straight Arrow Connector 6"/>
                      <wp:cNvGraphicFramePr/>
                      <a:graphic xmlns:a="http://schemas.openxmlformats.org/drawingml/2006/main">
                        <a:graphicData uri="http://schemas.microsoft.com/office/word/2010/wordprocessingShape">
                          <wps:wsp>
                            <wps:cNvCnPr/>
                            <wps:spPr>
                              <a:xfrm>
                                <a:off x="0" y="0"/>
                                <a:ext cx="0" cy="946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7.35pt;margin-top:1.85pt;width:0;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" strokecolor="black [3213]">
                      <v:stroke endarrow="open"/>
                    </v:shape>
                  </w:pict>
                </mc:Fallback>
              </mc:AlternateContent>
            </w:r>
          </w:p>
        </w:tc>
        <w:tc>
          <w:tcPr>
            <w:tcW w:w="627"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shd w:val="clear" w:color="auto" w:fill="auto"/>
            <w:vAlign w:val="center"/>
          </w:tcPr>
          <w:p w:rsidR="00041B7F" w:rsidRPr="00F76927" w:rsidRDefault="00041B7F" w:rsidP="004B5E56">
            <w:pPr>
              <w:spacing w:line="276" w:lineRule="auto"/>
              <w:rPr>
                <w:rFonts w:ascii="Arial" w:hAnsi="Arial" w:cs="Arial"/>
                <w:sz w:val="20"/>
                <w:szCs w:val="20"/>
              </w:rPr>
            </w:pPr>
          </w:p>
        </w:tc>
        <w:tc>
          <w:tcPr>
            <w:tcW w:w="396" w:type="dxa"/>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021" w:type="dxa"/>
            <w:gridSpan w:val="4"/>
            <w:tcBorders>
              <w:left w:val="nil"/>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767DEA89" wp14:editId="579B8F5E">
                      <wp:simplePos x="0" y="0"/>
                      <wp:positionH relativeFrom="column">
                        <wp:posOffset>100965</wp:posOffset>
                      </wp:positionH>
                      <wp:positionV relativeFrom="paragraph">
                        <wp:posOffset>-1905</wp:posOffset>
                      </wp:positionV>
                      <wp:extent cx="0" cy="147955"/>
                      <wp:effectExtent l="9525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1479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7.95pt;margin-top:-.15pt;width:0;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" strokecolor="black [3213]">
                      <v:stroke endarrow="open"/>
                    </v:shape>
                  </w:pict>
                </mc:Fallback>
              </mc:AlternateContent>
            </w: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7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that period of account</w:t>
            </w:r>
          </w:p>
        </w:tc>
        <w:tc>
          <w:tcPr>
            <w:tcW w:w="413"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first 12 months of trade</w:t>
            </w:r>
          </w:p>
        </w:tc>
        <w:tc>
          <w:tcPr>
            <w:tcW w:w="567"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 period is 12 months to the accounting date in second tax year</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421"/>
        </w:trPr>
        <w:tc>
          <w:tcPr>
            <w:tcW w:w="794" w:type="dxa"/>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4384" behindDoc="0" locked="0" layoutInCell="1" allowOverlap="1" wp14:anchorId="05D7DDE5" wp14:editId="45685E60">
                      <wp:simplePos x="0" y="0"/>
                      <wp:positionH relativeFrom="column">
                        <wp:posOffset>430530</wp:posOffset>
                      </wp:positionH>
                      <wp:positionV relativeFrom="paragraph">
                        <wp:posOffset>6350</wp:posOffset>
                      </wp:positionV>
                      <wp:extent cx="6350" cy="266065"/>
                      <wp:effectExtent l="76200" t="0" r="69850" b="57785"/>
                      <wp:wrapNone/>
                      <wp:docPr id="11" name="Straight Arrow Connector 11"/>
                      <wp:cNvGraphicFramePr/>
                      <a:graphic xmlns:a="http://schemas.openxmlformats.org/drawingml/2006/main">
                        <a:graphicData uri="http://schemas.microsoft.com/office/word/2010/wordprocessingShape">
                          <wps:wsp>
                            <wps:cNvCnPr/>
                            <wps:spPr>
                              <a:xfrm flipH="1">
                                <a:off x="0" y="0"/>
                                <a:ext cx="6350" cy="266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3.9pt;margin-top:.5pt;width:.5pt;height:20.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" strokecolor="black [3213]">
                      <v:stroke endarrow="open"/>
                    </v:shape>
                  </w:pict>
                </mc:Fallback>
              </mc:AlternateContent>
            </w:r>
          </w:p>
        </w:tc>
        <w:tc>
          <w:tcPr>
            <w:tcW w:w="483" w:type="dxa"/>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13"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61"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4FF96DF4" wp14:editId="2EFC04C1">
                      <wp:simplePos x="0" y="0"/>
                      <wp:positionH relativeFrom="column">
                        <wp:posOffset>343535</wp:posOffset>
                      </wp:positionH>
                      <wp:positionV relativeFrom="paragraph">
                        <wp:posOffset>3810</wp:posOffset>
                      </wp:positionV>
                      <wp:extent cx="3175" cy="266700"/>
                      <wp:effectExtent l="76200" t="0" r="73025" b="57150"/>
                      <wp:wrapNone/>
                      <wp:docPr id="10" name="Straight Arrow Connector 10"/>
                      <wp:cNvGraphicFramePr/>
                      <a:graphic xmlns:a="http://schemas.openxmlformats.org/drawingml/2006/main">
                        <a:graphicData uri="http://schemas.microsoft.com/office/word/2010/wordprocessingShape">
                          <wps:wsp>
                            <wps:cNvCnPr/>
                            <wps:spPr>
                              <a:xfrm>
                                <a:off x="0" y="0"/>
                                <a:ext cx="317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05pt;margin-top:.3pt;width:.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" strokecolor="black [3213]">
                      <v:stroke endarrow="open"/>
                    </v:shape>
                  </w:pict>
                </mc:Fallback>
              </mc:AlternateContent>
            </w:r>
          </w:p>
        </w:tc>
        <w:tc>
          <w:tcPr>
            <w:tcW w:w="627" w:type="dxa"/>
            <w:gridSpan w:val="2"/>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gridSpan w:val="2"/>
            <w:tcBorders>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850" w:type="dxa"/>
            <w:gridSpan w:val="3"/>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154F3529" wp14:editId="1AB71F98">
                      <wp:simplePos x="0" y="0"/>
                      <wp:positionH relativeFrom="column">
                        <wp:posOffset>-65405</wp:posOffset>
                      </wp:positionH>
                      <wp:positionV relativeFrom="paragraph">
                        <wp:posOffset>3175</wp:posOffset>
                      </wp:positionV>
                      <wp:extent cx="0" cy="264160"/>
                      <wp:effectExtent l="9525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264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5.15pt;margin-top:.25pt;width:0;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" strokecolor="black [3213]">
                      <v:stroke endarrow="open"/>
                    </v:shape>
                  </w:pict>
                </mc:Fallback>
              </mc:AlternateContent>
            </w: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608"/>
        </w:trPr>
        <w:tc>
          <w:tcPr>
            <w:tcW w:w="496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Third tax year</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543"/>
        </w:trPr>
        <w:tc>
          <w:tcPr>
            <w:tcW w:w="794"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7E43B872" wp14:editId="0707F064">
                      <wp:simplePos x="0" y="0"/>
                      <wp:positionH relativeFrom="column">
                        <wp:posOffset>433705</wp:posOffset>
                      </wp:positionH>
                      <wp:positionV relativeFrom="paragraph">
                        <wp:posOffset>43815</wp:posOffset>
                      </wp:positionV>
                      <wp:extent cx="6350" cy="266065"/>
                      <wp:effectExtent l="76200" t="0" r="69850" b="57785"/>
                      <wp:wrapNone/>
                      <wp:docPr id="14" name="Straight Arrow Connector 14"/>
                      <wp:cNvGraphicFramePr/>
                      <a:graphic xmlns:a="http://schemas.openxmlformats.org/drawingml/2006/main">
                        <a:graphicData uri="http://schemas.microsoft.com/office/word/2010/wordprocessingShape">
                          <wps:wsp>
                            <wps:cNvCnPr/>
                            <wps:spPr>
                              <a:xfrm flipH="1">
                                <a:off x="0" y="0"/>
                                <a:ext cx="6350" cy="2660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15pt;margin-top:3.45pt;width:.5pt;height:20.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" strokecolor="black [3213]">
                      <v:stroke endarrow="open"/>
                    </v:shape>
                  </w:pict>
                </mc:Fallback>
              </mc:AlternateContent>
            </w:r>
          </w:p>
        </w:tc>
        <w:tc>
          <w:tcPr>
            <w:tcW w:w="617"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291" w:type="dxa"/>
            <w:gridSpan w:val="2"/>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49" w:type="dxa"/>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569DF349" wp14:editId="048B11E3">
                      <wp:simplePos x="0" y="0"/>
                      <wp:positionH relativeFrom="column">
                        <wp:posOffset>335280</wp:posOffset>
                      </wp:positionH>
                      <wp:positionV relativeFrom="paragraph">
                        <wp:posOffset>62230</wp:posOffset>
                      </wp:positionV>
                      <wp:extent cx="3175" cy="266700"/>
                      <wp:effectExtent l="76200" t="0" r="73025" b="57150"/>
                      <wp:wrapNone/>
                      <wp:docPr id="13" name="Straight Arrow Connector 13"/>
                      <wp:cNvGraphicFramePr/>
                      <a:graphic xmlns:a="http://schemas.openxmlformats.org/drawingml/2006/main">
                        <a:graphicData uri="http://schemas.microsoft.com/office/word/2010/wordprocessingShape">
                          <wps:wsp>
                            <wps:cNvCnPr/>
                            <wps:spPr>
                              <a:xfrm>
                                <a:off x="0" y="0"/>
                                <a:ext cx="3175"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6.4pt;margin-top:4.9pt;width:.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" strokecolor="black [3213]">
                      <v:stroke endarrow="open"/>
                    </v:shape>
                  </w:pict>
                </mc:Fallback>
              </mc:AlternateContent>
            </w:r>
          </w:p>
        </w:tc>
        <w:tc>
          <w:tcPr>
            <w:tcW w:w="768" w:type="dxa"/>
            <w:gridSpan w:val="3"/>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6" w:type="dxa"/>
            <w:tcBorders>
              <w:top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645" w:type="dxa"/>
            <w:gridSpan w:val="3"/>
            <w:tcBorders>
              <w:top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523CAE">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6639E730" wp14:editId="5666FF58">
                      <wp:simplePos x="0" y="0"/>
                      <wp:positionH relativeFrom="column">
                        <wp:posOffset>338455</wp:posOffset>
                      </wp:positionH>
                      <wp:positionV relativeFrom="paragraph">
                        <wp:posOffset>67310</wp:posOffset>
                      </wp:positionV>
                      <wp:extent cx="0" cy="264160"/>
                      <wp:effectExtent l="9525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2641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6.65pt;margin-top:5.3pt;width:0;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" strokecolor="black [3213]">
                      <v:stroke endarrow="open"/>
                    </v:shape>
                  </w:pict>
                </mc:Fallback>
              </mc:AlternateContent>
            </w:r>
          </w:p>
        </w:tc>
        <w:tc>
          <w:tcPr>
            <w:tcW w:w="772" w:type="dxa"/>
            <w:gridSpan w:val="2"/>
            <w:tcBorders>
              <w:top w:val="single" w:sz="4" w:space="0" w:color="auto"/>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1418"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vAlign w:val="center"/>
          </w:tcPr>
          <w:p w:rsidR="00041B7F" w:rsidRPr="00F76927" w:rsidRDefault="00041B7F" w:rsidP="004B5E56">
            <w:pPr>
              <w:spacing w:line="276" w:lineRule="auto"/>
              <w:rPr>
                <w:rFonts w:ascii="Arial" w:hAnsi="Arial" w:cs="Arial"/>
                <w:sz w:val="20"/>
                <w:szCs w:val="20"/>
              </w:rPr>
            </w:pPr>
          </w:p>
        </w:tc>
        <w:tc>
          <w:tcPr>
            <w:tcW w:w="872" w:type="dxa"/>
            <w:gridSpan w:val="2"/>
            <w:tcBorders>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971" w:type="dxa"/>
            <w:tcBorders>
              <w:left w:val="single" w:sz="4" w:space="0" w:color="auto"/>
              <w:bottom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r>
      <w:tr w:rsidR="00041B7F" w:rsidRPr="00F76927" w:rsidTr="00041B7F">
        <w:trPr>
          <w:trHeight w:val="1580"/>
        </w:trPr>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291" w:type="dxa"/>
            <w:gridSpan w:val="2"/>
            <w:tcBorders>
              <w:left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426" w:type="dxa"/>
            <w:tcBorders>
              <w:left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jc w:val="center"/>
              <w:rPr>
                <w:rFonts w:ascii="Arial" w:hAnsi="Arial" w:cs="Arial"/>
                <w:sz w:val="20"/>
                <w:szCs w:val="20"/>
              </w:rPr>
            </w:pPr>
            <w:r w:rsidRPr="00F76927">
              <w:rPr>
                <w:rFonts w:ascii="Arial" w:hAnsi="Arial" w:cs="Arial"/>
                <w:sz w:val="20"/>
                <w:szCs w:val="20"/>
              </w:rPr>
              <w:t>CYB</w:t>
            </w:r>
          </w:p>
        </w:tc>
        <w:tc>
          <w:tcPr>
            <w:tcW w:w="1418" w:type="dxa"/>
            <w:tcBorders>
              <w:lef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p>
        </w:tc>
        <w:tc>
          <w:tcPr>
            <w:tcW w:w="425" w:type="dxa"/>
            <w:shd w:val="clear" w:color="auto" w:fill="auto"/>
            <w:vAlign w:val="center"/>
          </w:tcPr>
          <w:p w:rsidR="00041B7F" w:rsidRPr="00F76927" w:rsidRDefault="00041B7F" w:rsidP="004B5E56">
            <w:pPr>
              <w:spacing w:line="276" w:lineRule="auto"/>
              <w:rPr>
                <w:rFonts w:ascii="Arial" w:hAnsi="Arial" w:cs="Arial"/>
                <w:sz w:val="20"/>
                <w:szCs w:val="20"/>
              </w:rPr>
            </w:pPr>
          </w:p>
        </w:tc>
        <w:tc>
          <w:tcPr>
            <w:tcW w:w="567" w:type="dxa"/>
            <w:tcBorders>
              <w:right w:val="single" w:sz="4" w:space="0" w:color="auto"/>
            </w:tcBorders>
            <w:vAlign w:val="center"/>
          </w:tcPr>
          <w:p w:rsidR="00041B7F" w:rsidRPr="00F76927" w:rsidRDefault="00041B7F" w:rsidP="004B5E56">
            <w:pPr>
              <w:spacing w:line="276" w:lineRule="auto"/>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1B7F" w:rsidRPr="00F76927" w:rsidRDefault="00041B7F" w:rsidP="004B5E56">
            <w:pPr>
              <w:spacing w:line="276" w:lineRule="auto"/>
              <w:rPr>
                <w:rFonts w:ascii="Arial" w:hAnsi="Arial" w:cs="Arial"/>
                <w:sz w:val="20"/>
                <w:szCs w:val="20"/>
              </w:rPr>
            </w:pPr>
            <w:r w:rsidRPr="00F76927">
              <w:rPr>
                <w:rFonts w:ascii="Arial" w:hAnsi="Arial" w:cs="Arial"/>
                <w:sz w:val="20"/>
                <w:szCs w:val="20"/>
              </w:rPr>
              <w:t>Basis</w:t>
            </w:r>
            <w:r>
              <w:rPr>
                <w:rFonts w:ascii="Arial" w:hAnsi="Arial" w:cs="Arial"/>
                <w:sz w:val="20"/>
                <w:szCs w:val="20"/>
              </w:rPr>
              <w:t xml:space="preserve"> period</w:t>
            </w:r>
            <w:r w:rsidRPr="00F76927">
              <w:rPr>
                <w:rFonts w:ascii="Arial" w:hAnsi="Arial" w:cs="Arial"/>
                <w:sz w:val="20"/>
                <w:szCs w:val="20"/>
              </w:rPr>
              <w:t xml:space="preserve"> is 12 months to the accounting date in the third tax year</w:t>
            </w:r>
          </w:p>
        </w:tc>
      </w:tr>
    </w:tbl>
    <w:p w:rsidR="00041B7F" w:rsidRDefault="00041B7F" w:rsidP="004B5E56">
      <w:pPr>
        <w:spacing w:line="276" w:lineRule="auto"/>
        <w:rPr>
          <w:sz w:val="20"/>
          <w:szCs w:val="20"/>
        </w:rPr>
      </w:pPr>
    </w:p>
    <w:p w:rsidR="00041B7F" w:rsidRDefault="00041B7F" w:rsidP="004B5E56">
      <w:pPr>
        <w:spacing w:line="276" w:lineRule="auto"/>
        <w:rPr>
          <w:sz w:val="20"/>
          <w:szCs w:val="20"/>
        </w:rPr>
      </w:pP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Later years – basis period is the period of account ending in the tax year = Current Year basis (CYB).</w:t>
      </w:r>
      <w:r w:rsidRPr="004B5E56">
        <w:rPr>
          <w:rFonts w:ascii="Arial" w:hAnsi="Arial" w:cs="Arial"/>
          <w:sz w:val="20"/>
          <w:szCs w:val="20"/>
        </w:rPr>
        <w:br/>
      </w:r>
      <w:r w:rsidRPr="004B5E56">
        <w:rPr>
          <w:rFonts w:ascii="Arial" w:hAnsi="Arial" w:cs="Arial"/>
          <w:sz w:val="20"/>
          <w:szCs w:val="20"/>
        </w:rPr>
        <w:br/>
        <w:t>Final year – basis period is the period from the end of the basis period for the previous tax year to cessation date.</w:t>
      </w:r>
    </w:p>
    <w:p w:rsidR="00041B7F" w:rsidRPr="004B5E56" w:rsidRDefault="00041B7F" w:rsidP="004B5E56">
      <w:pPr>
        <w:spacing w:line="276" w:lineRule="auto"/>
        <w:rPr>
          <w:rFonts w:ascii="Arial" w:hAnsi="Arial" w:cs="Arial"/>
          <w:sz w:val="20"/>
          <w:szCs w:val="20"/>
        </w:rPr>
      </w:pPr>
    </w:p>
    <w:p w:rsidR="00041B7F" w:rsidRPr="004B5E56" w:rsidRDefault="00041B7F" w:rsidP="004B5E56">
      <w:pPr>
        <w:spacing w:line="276" w:lineRule="auto"/>
        <w:rPr>
          <w:rFonts w:ascii="Arial" w:hAnsi="Arial" w:cs="Arial"/>
          <w:sz w:val="20"/>
          <w:szCs w:val="20"/>
        </w:rPr>
      </w:pPr>
      <w:r w:rsidRPr="004B5E56">
        <w:rPr>
          <w:rFonts w:ascii="Arial" w:hAnsi="Arial" w:cs="Arial"/>
          <w:sz w:val="20"/>
          <w:szCs w:val="20"/>
        </w:rPr>
        <w:t>Overlap profits - opening year rules may lead to profits being taxed twice. Relief is given on cessation of the business.</w:t>
      </w:r>
    </w:p>
    <w:p w:rsidR="00041B7F" w:rsidRPr="00AD325D"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rPr>
      </w:pPr>
      <w:r w:rsidRPr="00843CD1">
        <w:rPr>
          <w:rFonts w:ascii="Arial" w:hAnsi="Arial" w:cs="Arial"/>
          <w:b/>
        </w:rPr>
        <w:t>Sole</w:t>
      </w:r>
      <w:r w:rsidR="00911D6B">
        <w:rPr>
          <w:rFonts w:ascii="Arial" w:hAnsi="Arial" w:cs="Arial"/>
          <w:b/>
        </w:rPr>
        <w:t xml:space="preserve"> </w:t>
      </w:r>
      <w:r w:rsidRPr="00843CD1">
        <w:rPr>
          <w:rFonts w:ascii="Arial" w:hAnsi="Arial" w:cs="Arial"/>
          <w:b/>
        </w:rPr>
        <w:t>traders – change of accounting date</w:t>
      </w:r>
    </w:p>
    <w:p w:rsidR="00041B7F" w:rsidRPr="00A71D64" w:rsidRDefault="00041B7F" w:rsidP="004B5E56">
      <w:pPr>
        <w:spacing w:line="276" w:lineRule="auto"/>
        <w:rPr>
          <w:rFonts w:ascii="Arial" w:hAnsi="Arial" w:cs="Arial"/>
          <w:sz w:val="22"/>
          <w:szCs w:val="22"/>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For an accounting date change to be recognised for tax purposes the following conditions must be satisfied:</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8"/>
        </w:numPr>
        <w:spacing w:line="276" w:lineRule="auto"/>
        <w:rPr>
          <w:rFonts w:ascii="Arial" w:hAnsi="Arial" w:cs="Arial"/>
          <w:sz w:val="20"/>
          <w:szCs w:val="20"/>
        </w:rPr>
      </w:pPr>
      <w:r w:rsidRPr="00843CD1">
        <w:rPr>
          <w:rFonts w:ascii="Arial" w:hAnsi="Arial" w:cs="Arial"/>
          <w:sz w:val="20"/>
          <w:szCs w:val="20"/>
        </w:rPr>
        <w:t>The first accounts ending on the new date must not exceed 18 months in length.</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8"/>
        </w:numPr>
        <w:spacing w:line="276" w:lineRule="auto"/>
        <w:rPr>
          <w:rFonts w:ascii="Arial" w:hAnsi="Arial" w:cs="Arial"/>
          <w:sz w:val="20"/>
          <w:szCs w:val="20"/>
        </w:rPr>
      </w:pPr>
      <w:r w:rsidRPr="00843CD1">
        <w:rPr>
          <w:rFonts w:ascii="Arial" w:hAnsi="Arial" w:cs="Arial"/>
          <w:sz w:val="20"/>
          <w:szCs w:val="20"/>
        </w:rPr>
        <w:t>The sole</w:t>
      </w:r>
      <w:r w:rsidR="00911D6B">
        <w:rPr>
          <w:rFonts w:ascii="Arial" w:hAnsi="Arial" w:cs="Arial"/>
          <w:sz w:val="20"/>
          <w:szCs w:val="20"/>
        </w:rPr>
        <w:t xml:space="preserve"> </w:t>
      </w:r>
      <w:r w:rsidRPr="00843CD1">
        <w:rPr>
          <w:rFonts w:ascii="Arial" w:hAnsi="Arial" w:cs="Arial"/>
          <w:sz w:val="20"/>
          <w:szCs w:val="20"/>
        </w:rPr>
        <w:t>trader or partnership must give notice of the change in the tax return by the filing date of the tax return.</w:t>
      </w:r>
    </w:p>
    <w:p w:rsidR="00041B7F" w:rsidRPr="00843CD1" w:rsidRDefault="00041B7F" w:rsidP="004B5E56">
      <w:pPr>
        <w:pStyle w:val="ListParagraph"/>
        <w:spacing w:line="276" w:lineRule="auto"/>
        <w:rPr>
          <w:rFonts w:cs="Arial"/>
        </w:rPr>
      </w:pPr>
    </w:p>
    <w:p w:rsidR="00041B7F" w:rsidRPr="00041B7F" w:rsidRDefault="00041B7F" w:rsidP="004B5E56">
      <w:pPr>
        <w:spacing w:line="276" w:lineRule="auto"/>
        <w:rPr>
          <w:rFonts w:ascii="Arial" w:hAnsi="Arial" w:cs="Arial"/>
          <w:sz w:val="20"/>
          <w:szCs w:val="20"/>
        </w:rPr>
      </w:pPr>
      <w:r>
        <w:rPr>
          <w:rFonts w:ascii="Arial" w:hAnsi="Arial" w:cs="Arial"/>
          <w:sz w:val="20"/>
          <w:szCs w:val="20"/>
        </w:rPr>
        <w:t>“</w:t>
      </w:r>
      <w:r w:rsidRPr="00041B7F">
        <w:rPr>
          <w:rFonts w:ascii="Arial" w:hAnsi="Arial" w:cs="Arial"/>
          <w:sz w:val="20"/>
          <w:szCs w:val="20"/>
        </w:rPr>
        <w:t>Year of change</w:t>
      </w:r>
      <w:r>
        <w:rPr>
          <w:rFonts w:ascii="Arial" w:hAnsi="Arial" w:cs="Arial"/>
          <w:sz w:val="20"/>
          <w:szCs w:val="20"/>
        </w:rPr>
        <w:t>”</w:t>
      </w:r>
      <w:r w:rsidRPr="00041B7F">
        <w:rPr>
          <w:rFonts w:ascii="Arial" w:hAnsi="Arial" w:cs="Arial"/>
          <w:sz w:val="20"/>
          <w:szCs w:val="20"/>
        </w:rPr>
        <w:t xml:space="preserve"> – is the first tax year in which accounts are made up to the new date.</w:t>
      </w:r>
    </w:p>
    <w:p w:rsidR="00041B7F" w:rsidRPr="00041B7F"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Pr>
          <w:rFonts w:ascii="Arial" w:hAnsi="Arial" w:cs="Arial"/>
          <w:sz w:val="20"/>
          <w:szCs w:val="20"/>
        </w:rPr>
        <w:t>“</w:t>
      </w:r>
      <w:r w:rsidRPr="00041B7F">
        <w:rPr>
          <w:rFonts w:ascii="Arial" w:hAnsi="Arial" w:cs="Arial"/>
          <w:sz w:val="20"/>
          <w:szCs w:val="20"/>
        </w:rPr>
        <w:t>Relevant period</w:t>
      </w:r>
      <w:r>
        <w:rPr>
          <w:rFonts w:ascii="Arial" w:hAnsi="Arial" w:cs="Arial"/>
          <w:sz w:val="20"/>
          <w:szCs w:val="20"/>
        </w:rPr>
        <w:t>”</w:t>
      </w:r>
      <w:r w:rsidRPr="00041B7F">
        <w:rPr>
          <w:rFonts w:ascii="Arial" w:hAnsi="Arial" w:cs="Arial"/>
          <w:sz w:val="20"/>
          <w:szCs w:val="20"/>
        </w:rPr>
        <w:t xml:space="preserve"> – is the time</w:t>
      </w:r>
      <w:r w:rsidRPr="00843CD1">
        <w:rPr>
          <w:rFonts w:ascii="Arial" w:hAnsi="Arial" w:cs="Arial"/>
          <w:sz w:val="20"/>
          <w:szCs w:val="20"/>
        </w:rPr>
        <w:t xml:space="preserve"> to the new accounting date from the end of the previous basis period.</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Example 1 – relevant period is less than 12 months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Jasmin changes her accounting date as follows: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Accounts</w:t>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t>Year</w:t>
      </w:r>
      <w:r w:rsidRPr="00843CD1">
        <w:rPr>
          <w:rFonts w:ascii="Arial" w:hAnsi="Arial" w:cs="Arial"/>
          <w:b/>
          <w:sz w:val="20"/>
          <w:szCs w:val="20"/>
        </w:rPr>
        <w:tab/>
      </w:r>
      <w:r w:rsidRPr="00843CD1">
        <w:rPr>
          <w:rFonts w:ascii="Arial" w:hAnsi="Arial" w:cs="Arial"/>
          <w:b/>
          <w:sz w:val="20"/>
          <w:szCs w:val="20"/>
        </w:rPr>
        <w:tab/>
        <w:t>Basis period</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December 2014</w:t>
      </w:r>
      <w:r w:rsidRPr="00843CD1">
        <w:rPr>
          <w:rFonts w:ascii="Arial" w:hAnsi="Arial" w:cs="Arial"/>
          <w:sz w:val="20"/>
          <w:szCs w:val="20"/>
        </w:rPr>
        <w:tab/>
      </w:r>
      <w:r w:rsidRPr="00843CD1">
        <w:rPr>
          <w:rFonts w:ascii="Arial" w:hAnsi="Arial" w:cs="Arial"/>
          <w:sz w:val="20"/>
          <w:szCs w:val="20"/>
        </w:rPr>
        <w:tab/>
        <w:t>2014/15</w:t>
      </w:r>
      <w:r w:rsidRPr="00843CD1">
        <w:rPr>
          <w:rFonts w:ascii="Arial" w:hAnsi="Arial" w:cs="Arial"/>
          <w:sz w:val="20"/>
          <w:szCs w:val="20"/>
        </w:rPr>
        <w:tab/>
        <w:t>1/1/14 to 31/12/14</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9 months to 30 September 2015</w:t>
      </w:r>
      <w:r>
        <w:rPr>
          <w:rFonts w:ascii="Arial" w:hAnsi="Arial" w:cs="Arial"/>
          <w:sz w:val="20"/>
          <w:szCs w:val="20"/>
        </w:rPr>
        <w:tab/>
      </w:r>
      <w:r>
        <w:rPr>
          <w:rFonts w:ascii="Arial" w:hAnsi="Arial" w:cs="Arial"/>
          <w:sz w:val="20"/>
          <w:szCs w:val="20"/>
        </w:rPr>
        <w:tab/>
      </w:r>
      <w:r w:rsidRPr="00843CD1">
        <w:rPr>
          <w:rFonts w:ascii="Arial" w:hAnsi="Arial" w:cs="Arial"/>
          <w:sz w:val="20"/>
          <w:szCs w:val="20"/>
        </w:rPr>
        <w:t>2015/16</w:t>
      </w:r>
      <w:r w:rsidRPr="00843CD1">
        <w:rPr>
          <w:rFonts w:ascii="Arial" w:hAnsi="Arial" w:cs="Arial"/>
          <w:sz w:val="20"/>
          <w:szCs w:val="20"/>
        </w:rPr>
        <w:tab/>
        <w:t>1/10/14 to 30/9/15</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30 September 2016</w:t>
      </w:r>
      <w:r w:rsidRPr="00843CD1">
        <w:rPr>
          <w:rFonts w:ascii="Arial" w:hAnsi="Arial" w:cs="Arial"/>
          <w:sz w:val="20"/>
          <w:szCs w:val="20"/>
        </w:rPr>
        <w:tab/>
      </w:r>
      <w:r w:rsidRPr="00843CD1">
        <w:rPr>
          <w:rFonts w:ascii="Arial" w:hAnsi="Arial" w:cs="Arial"/>
          <w:sz w:val="20"/>
          <w:szCs w:val="20"/>
        </w:rPr>
        <w:tab/>
        <w:t>2016/17</w:t>
      </w:r>
      <w:r w:rsidRPr="00843CD1">
        <w:rPr>
          <w:rFonts w:ascii="Arial" w:hAnsi="Arial" w:cs="Arial"/>
          <w:sz w:val="20"/>
          <w:szCs w:val="20"/>
        </w:rPr>
        <w:tab/>
        <w:t>1/10/15 to 30/9/16</w:t>
      </w:r>
    </w:p>
    <w:p w:rsidR="00041B7F" w:rsidRPr="00843CD1" w:rsidRDefault="00041B7F" w:rsidP="004B5E56">
      <w:pPr>
        <w:spacing w:line="276" w:lineRule="auto"/>
        <w:rPr>
          <w:rFonts w:ascii="Arial" w:hAnsi="Arial" w:cs="Arial"/>
          <w:sz w:val="20"/>
          <w:szCs w:val="20"/>
        </w:rPr>
      </w:pPr>
    </w:p>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Year of change – 2015/16</w:t>
      </w:r>
    </w:p>
    <w:p w:rsidR="00041B7F" w:rsidRPr="00843CD1" w:rsidRDefault="00041B7F" w:rsidP="004B5E56">
      <w:pPr>
        <w:spacing w:line="276" w:lineRule="auto"/>
        <w:rPr>
          <w:rFonts w:ascii="Arial" w:hAnsi="Arial" w:cs="Arial"/>
          <w:sz w:val="20"/>
          <w:szCs w:val="20"/>
        </w:rPr>
      </w:pPr>
      <w:r w:rsidRPr="00041B7F">
        <w:rPr>
          <w:rFonts w:ascii="Arial" w:hAnsi="Arial" w:cs="Arial"/>
          <w:sz w:val="20"/>
          <w:szCs w:val="20"/>
        </w:rPr>
        <w:t>Relevant period – 9 months</w:t>
      </w:r>
      <w:r w:rsidRPr="00843CD1">
        <w:rPr>
          <w:rFonts w:ascii="Arial" w:hAnsi="Arial" w:cs="Arial"/>
          <w:sz w:val="20"/>
          <w:szCs w:val="20"/>
        </w:rPr>
        <w:t xml:space="preserve"> to 30 September 2015</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Example 2 – relevant period is greater than 12 months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Vaughan changes his accounting date as follows:</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b/>
          <w:sz w:val="20"/>
          <w:szCs w:val="20"/>
        </w:rPr>
      </w:pPr>
      <w:r w:rsidRPr="00843CD1">
        <w:rPr>
          <w:rFonts w:ascii="Arial" w:hAnsi="Arial" w:cs="Arial"/>
          <w:b/>
          <w:sz w:val="20"/>
          <w:szCs w:val="20"/>
        </w:rPr>
        <w:t>Accounts</w:t>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r>
      <w:r w:rsidRPr="00843CD1">
        <w:rPr>
          <w:rFonts w:ascii="Arial" w:hAnsi="Arial" w:cs="Arial"/>
          <w:b/>
          <w:sz w:val="20"/>
          <w:szCs w:val="20"/>
        </w:rPr>
        <w:tab/>
        <w:t>Year</w:t>
      </w:r>
      <w:r w:rsidRPr="00843CD1">
        <w:rPr>
          <w:rFonts w:ascii="Arial" w:hAnsi="Arial" w:cs="Arial"/>
          <w:b/>
          <w:sz w:val="20"/>
          <w:szCs w:val="20"/>
        </w:rPr>
        <w:tab/>
      </w:r>
      <w:r w:rsidRPr="00843CD1">
        <w:rPr>
          <w:rFonts w:ascii="Arial" w:hAnsi="Arial" w:cs="Arial"/>
          <w:b/>
          <w:sz w:val="20"/>
          <w:szCs w:val="20"/>
        </w:rPr>
        <w:tab/>
        <w:t>Basis period</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December 2014</w:t>
      </w:r>
      <w:r w:rsidRPr="00843CD1">
        <w:rPr>
          <w:rFonts w:ascii="Arial" w:hAnsi="Arial" w:cs="Arial"/>
          <w:sz w:val="20"/>
          <w:szCs w:val="20"/>
        </w:rPr>
        <w:tab/>
      </w:r>
      <w:r w:rsidRPr="00843CD1">
        <w:rPr>
          <w:rFonts w:ascii="Arial" w:hAnsi="Arial" w:cs="Arial"/>
          <w:sz w:val="20"/>
          <w:szCs w:val="20"/>
        </w:rPr>
        <w:tab/>
        <w:t>2014/15</w:t>
      </w:r>
      <w:r w:rsidRPr="00843CD1">
        <w:rPr>
          <w:rFonts w:ascii="Arial" w:hAnsi="Arial" w:cs="Arial"/>
          <w:sz w:val="20"/>
          <w:szCs w:val="20"/>
        </w:rPr>
        <w:tab/>
        <w:t>1/1/14 to 31/12/14</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15 months to 31 March 2016</w:t>
      </w:r>
      <w:r w:rsidRPr="00843CD1">
        <w:rPr>
          <w:rFonts w:ascii="Arial" w:hAnsi="Arial" w:cs="Arial"/>
          <w:sz w:val="20"/>
          <w:szCs w:val="20"/>
        </w:rPr>
        <w:tab/>
      </w:r>
      <w:r w:rsidRPr="00843CD1">
        <w:rPr>
          <w:rFonts w:ascii="Arial" w:hAnsi="Arial" w:cs="Arial"/>
          <w:sz w:val="20"/>
          <w:szCs w:val="20"/>
        </w:rPr>
        <w:tab/>
        <w:t>2015/16</w:t>
      </w:r>
      <w:r w:rsidRPr="00843CD1">
        <w:rPr>
          <w:rFonts w:ascii="Arial" w:hAnsi="Arial" w:cs="Arial"/>
          <w:sz w:val="20"/>
          <w:szCs w:val="20"/>
        </w:rPr>
        <w:tab/>
        <w:t>1/1/15 to 31/3/16</w:t>
      </w: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Year to 31 March 2017</w:t>
      </w:r>
      <w:r w:rsidRPr="00843CD1">
        <w:rPr>
          <w:rFonts w:ascii="Arial" w:hAnsi="Arial" w:cs="Arial"/>
          <w:sz w:val="20"/>
          <w:szCs w:val="20"/>
        </w:rPr>
        <w:tab/>
      </w:r>
      <w:r w:rsidRPr="00843CD1">
        <w:rPr>
          <w:rFonts w:ascii="Arial" w:hAnsi="Arial" w:cs="Arial"/>
          <w:sz w:val="20"/>
          <w:szCs w:val="20"/>
        </w:rPr>
        <w:tab/>
      </w:r>
      <w:r>
        <w:rPr>
          <w:rFonts w:ascii="Arial" w:hAnsi="Arial" w:cs="Arial"/>
          <w:sz w:val="20"/>
          <w:szCs w:val="20"/>
        </w:rPr>
        <w:tab/>
      </w:r>
      <w:r w:rsidRPr="00843CD1">
        <w:rPr>
          <w:rFonts w:ascii="Arial" w:hAnsi="Arial" w:cs="Arial"/>
          <w:sz w:val="20"/>
          <w:szCs w:val="20"/>
        </w:rPr>
        <w:t>2016/17</w:t>
      </w:r>
      <w:r w:rsidRPr="00843CD1">
        <w:rPr>
          <w:rFonts w:ascii="Arial" w:hAnsi="Arial" w:cs="Arial"/>
          <w:sz w:val="20"/>
          <w:szCs w:val="20"/>
        </w:rPr>
        <w:tab/>
        <w:t>1/4/16 to 31/3/17</w:t>
      </w:r>
    </w:p>
    <w:p w:rsidR="00041B7F" w:rsidRPr="00843CD1" w:rsidRDefault="00041B7F" w:rsidP="004B5E56">
      <w:pPr>
        <w:spacing w:line="276" w:lineRule="auto"/>
        <w:rPr>
          <w:rFonts w:ascii="Arial" w:hAnsi="Arial" w:cs="Arial"/>
          <w:sz w:val="20"/>
          <w:szCs w:val="20"/>
        </w:rPr>
      </w:pPr>
    </w:p>
    <w:p w:rsidR="00041B7F" w:rsidRPr="00041B7F" w:rsidRDefault="00041B7F" w:rsidP="004B5E56">
      <w:pPr>
        <w:spacing w:line="276" w:lineRule="auto"/>
        <w:rPr>
          <w:rFonts w:ascii="Arial" w:hAnsi="Arial" w:cs="Arial"/>
          <w:sz w:val="20"/>
          <w:szCs w:val="20"/>
        </w:rPr>
      </w:pPr>
      <w:r w:rsidRPr="00041B7F">
        <w:rPr>
          <w:rFonts w:ascii="Arial" w:hAnsi="Arial" w:cs="Arial"/>
          <w:sz w:val="20"/>
          <w:szCs w:val="20"/>
        </w:rPr>
        <w:t>Year of change – 2015/16</w:t>
      </w:r>
    </w:p>
    <w:p w:rsidR="00041B7F" w:rsidRPr="00843CD1" w:rsidRDefault="00041B7F" w:rsidP="004B5E56">
      <w:pPr>
        <w:spacing w:line="276" w:lineRule="auto"/>
        <w:rPr>
          <w:rFonts w:ascii="Arial" w:hAnsi="Arial" w:cs="Arial"/>
          <w:sz w:val="20"/>
          <w:szCs w:val="20"/>
        </w:rPr>
      </w:pPr>
      <w:r w:rsidRPr="00041B7F">
        <w:rPr>
          <w:rFonts w:ascii="Arial" w:hAnsi="Arial" w:cs="Arial"/>
          <w:sz w:val="20"/>
          <w:szCs w:val="20"/>
        </w:rPr>
        <w:t>Relevant period – 15 months</w:t>
      </w:r>
      <w:r w:rsidRPr="00843CD1">
        <w:rPr>
          <w:rFonts w:ascii="Arial" w:hAnsi="Arial" w:cs="Arial"/>
          <w:sz w:val="20"/>
          <w:szCs w:val="20"/>
        </w:rPr>
        <w:t xml:space="preserve"> to 31 March 2016</w:t>
      </w:r>
    </w:p>
    <w:p w:rsidR="00041B7F" w:rsidRPr="00843CD1" w:rsidRDefault="00041B7F" w:rsidP="004B5E56">
      <w:pPr>
        <w:spacing w:line="276" w:lineRule="auto"/>
        <w:rPr>
          <w:rFonts w:ascii="Arial" w:hAnsi="Arial" w:cs="Arial"/>
          <w:sz w:val="20"/>
          <w:szCs w:val="20"/>
        </w:rPr>
      </w:pPr>
    </w:p>
    <w:p w:rsidR="00041B7F" w:rsidRPr="00843CD1" w:rsidRDefault="00041B7F" w:rsidP="004B5E56">
      <w:pPr>
        <w:spacing w:line="276" w:lineRule="auto"/>
        <w:rPr>
          <w:rFonts w:ascii="Arial" w:hAnsi="Arial" w:cs="Arial"/>
          <w:sz w:val="20"/>
          <w:szCs w:val="20"/>
        </w:rPr>
      </w:pPr>
      <w:r w:rsidRPr="00843CD1">
        <w:rPr>
          <w:rFonts w:ascii="Arial" w:hAnsi="Arial" w:cs="Arial"/>
          <w:sz w:val="20"/>
          <w:szCs w:val="20"/>
        </w:rPr>
        <w:t>The rules for determining basis periods on a change of accounting date are complex</w:t>
      </w:r>
      <w:r>
        <w:rPr>
          <w:rFonts w:ascii="Arial" w:hAnsi="Arial" w:cs="Arial"/>
          <w:sz w:val="20"/>
          <w:szCs w:val="20"/>
        </w:rPr>
        <w:t>.</w:t>
      </w:r>
      <w:r w:rsidR="008A63E2">
        <w:rPr>
          <w:rFonts w:ascii="Arial" w:hAnsi="Arial" w:cs="Arial"/>
          <w:sz w:val="20"/>
          <w:szCs w:val="20"/>
        </w:rPr>
        <w:t xml:space="preserve"> Significant examples of changes in accounting dates </w:t>
      </w:r>
      <w:r>
        <w:rPr>
          <w:rFonts w:ascii="Arial" w:hAnsi="Arial" w:cs="Arial"/>
          <w:sz w:val="20"/>
          <w:szCs w:val="20"/>
        </w:rPr>
        <w:t>are</w:t>
      </w:r>
      <w:r w:rsidRPr="00843CD1">
        <w:rPr>
          <w:rFonts w:ascii="Arial" w:hAnsi="Arial" w:cs="Arial"/>
          <w:sz w:val="20"/>
          <w:szCs w:val="20"/>
        </w:rPr>
        <w:t>:</w:t>
      </w:r>
    </w:p>
    <w:p w:rsidR="00041B7F" w:rsidRPr="00843CD1" w:rsidRDefault="00041B7F" w:rsidP="004B5E56">
      <w:pPr>
        <w:spacing w:line="276" w:lineRule="auto"/>
        <w:rPr>
          <w:rFonts w:ascii="Arial" w:hAnsi="Arial" w:cs="Arial"/>
          <w:sz w:val="20"/>
          <w:szCs w:val="20"/>
        </w:rPr>
      </w:pPr>
    </w:p>
    <w:p w:rsidR="00041B7F" w:rsidRPr="00843CD1" w:rsidRDefault="00041B7F" w:rsidP="004B5E56">
      <w:pPr>
        <w:numPr>
          <w:ilvl w:val="0"/>
          <w:numId w:val="9"/>
        </w:numPr>
        <w:spacing w:line="276" w:lineRule="auto"/>
        <w:rPr>
          <w:rFonts w:ascii="Arial" w:hAnsi="Arial" w:cs="Arial"/>
          <w:sz w:val="20"/>
          <w:szCs w:val="20"/>
        </w:rPr>
      </w:pPr>
      <w:r w:rsidRPr="00843CD1">
        <w:rPr>
          <w:rFonts w:ascii="Arial" w:hAnsi="Arial" w:cs="Arial"/>
          <w:sz w:val="20"/>
          <w:szCs w:val="20"/>
        </w:rPr>
        <w:t>after the 3rd year of trading,</w:t>
      </w:r>
    </w:p>
    <w:p w:rsidR="00041B7F" w:rsidRPr="00843CD1" w:rsidRDefault="00041B7F" w:rsidP="004B5E56">
      <w:pPr>
        <w:numPr>
          <w:ilvl w:val="0"/>
          <w:numId w:val="9"/>
        </w:numPr>
        <w:spacing w:line="276" w:lineRule="auto"/>
        <w:rPr>
          <w:rFonts w:ascii="Arial" w:hAnsi="Arial" w:cs="Arial"/>
          <w:sz w:val="20"/>
          <w:szCs w:val="20"/>
        </w:rPr>
      </w:pPr>
      <w:r w:rsidRPr="00843CD1">
        <w:rPr>
          <w:rFonts w:ascii="Arial" w:hAnsi="Arial" w:cs="Arial"/>
          <w:sz w:val="20"/>
          <w:szCs w:val="20"/>
        </w:rPr>
        <w:t>with accounts of 18 months or less, and</w:t>
      </w:r>
    </w:p>
    <w:p w:rsidR="00041B7F" w:rsidRPr="00843CD1" w:rsidRDefault="00041B7F" w:rsidP="004B5E56">
      <w:pPr>
        <w:numPr>
          <w:ilvl w:val="0"/>
          <w:numId w:val="9"/>
        </w:numPr>
        <w:spacing w:line="276" w:lineRule="auto"/>
        <w:rPr>
          <w:rFonts w:ascii="Arial" w:hAnsi="Arial" w:cs="Arial"/>
          <w:sz w:val="20"/>
          <w:szCs w:val="20"/>
        </w:rPr>
      </w:pPr>
      <w:proofErr w:type="gramStart"/>
      <w:r w:rsidRPr="00843CD1">
        <w:rPr>
          <w:rFonts w:ascii="Arial" w:hAnsi="Arial" w:cs="Arial"/>
          <w:sz w:val="20"/>
          <w:szCs w:val="20"/>
        </w:rPr>
        <w:t>not</w:t>
      </w:r>
      <w:proofErr w:type="gramEnd"/>
      <w:r w:rsidRPr="00843CD1">
        <w:rPr>
          <w:rFonts w:ascii="Arial" w:hAnsi="Arial" w:cs="Arial"/>
          <w:sz w:val="20"/>
          <w:szCs w:val="20"/>
        </w:rPr>
        <w:t xml:space="preserve"> straddling a tax year</w:t>
      </w:r>
      <w:r>
        <w:rPr>
          <w:rFonts w:ascii="Arial" w:hAnsi="Arial" w:cs="Arial"/>
          <w:sz w:val="20"/>
          <w:szCs w:val="20"/>
        </w:rPr>
        <w:t>.</w:t>
      </w:r>
    </w:p>
    <w:p w:rsidR="00041B7F" w:rsidRDefault="00041B7F" w:rsidP="004B5E56">
      <w:pPr>
        <w:spacing w:line="276" w:lineRule="auto"/>
        <w:rPr>
          <w:rFonts w:ascii="Arial" w:hAnsi="Arial" w:cs="Arial"/>
          <w:sz w:val="20"/>
          <w:szCs w:val="20"/>
        </w:rPr>
      </w:pPr>
      <w:r>
        <w:rPr>
          <w:rFonts w:ascii="Arial" w:hAnsi="Arial" w:cs="Arial"/>
          <w:sz w:val="20"/>
          <w:szCs w:val="20"/>
        </w:rPr>
        <w:br w:type="page"/>
      </w:r>
    </w:p>
    <w:p w:rsidR="00041B7F" w:rsidRPr="00D906FE" w:rsidRDefault="00041B7F" w:rsidP="004B5E56">
      <w:pPr>
        <w:spacing w:line="276" w:lineRule="auto"/>
        <w:rPr>
          <w:rFonts w:ascii="Arial" w:hAnsi="Arial" w:cs="Arial"/>
          <w:b/>
        </w:rPr>
      </w:pPr>
      <w:r w:rsidRPr="00D906FE">
        <w:rPr>
          <w:rFonts w:ascii="Arial" w:hAnsi="Arial" w:cs="Arial"/>
          <w:b/>
        </w:rPr>
        <w:t>Capital allowances on plant and machinery</w:t>
      </w:r>
    </w:p>
    <w:p w:rsidR="00041B7F" w:rsidRPr="003F6F14" w:rsidRDefault="00041B7F" w:rsidP="004B5E56">
      <w:pPr>
        <w:pStyle w:val="NormalWeb"/>
        <w:spacing w:line="276" w:lineRule="auto"/>
        <w:rPr>
          <w:rFonts w:ascii="Arial" w:hAnsi="Arial" w:cs="Arial"/>
          <w:b/>
          <w:sz w:val="20"/>
          <w:szCs w:val="20"/>
        </w:rPr>
      </w:pPr>
      <w:r w:rsidRPr="003F6F14">
        <w:rPr>
          <w:rFonts w:ascii="Arial" w:hAnsi="Arial" w:cs="Arial"/>
          <w:b/>
          <w:sz w:val="20"/>
          <w:szCs w:val="20"/>
        </w:rPr>
        <w:t>Layout of capital allowances on plant and machinery computation</w:t>
      </w:r>
    </w:p>
    <w:p w:rsidR="00041B7F" w:rsidRPr="003F6F14" w:rsidRDefault="00041B7F" w:rsidP="004B5E56">
      <w:pPr>
        <w:pStyle w:val="NormalWeb"/>
        <w:spacing w:line="276" w:lineRule="auto"/>
        <w:rPr>
          <w:rFonts w:ascii="Arial" w:hAnsi="Arial" w:cs="Arial"/>
          <w:b/>
          <w:sz w:val="20"/>
          <w:szCs w:val="20"/>
        </w:rPr>
      </w:pPr>
      <w:r w:rsidRPr="003F6F14">
        <w:rPr>
          <w:rFonts w:ascii="Arial" w:hAnsi="Arial" w:cs="Arial"/>
          <w:sz w:val="20"/>
          <w:szCs w:val="20"/>
        </w:rPr>
        <w:t>(</w:t>
      </w:r>
      <w:proofErr w:type="gramStart"/>
      <w:r w:rsidRPr="003F6F14">
        <w:rPr>
          <w:rFonts w:ascii="Arial" w:hAnsi="Arial" w:cs="Arial"/>
          <w:sz w:val="20"/>
          <w:szCs w:val="20"/>
        </w:rPr>
        <w:t>see</w:t>
      </w:r>
      <w:proofErr w:type="gramEnd"/>
      <w:r w:rsidRPr="003F6F14">
        <w:rPr>
          <w:rFonts w:ascii="Arial" w:hAnsi="Arial" w:cs="Arial"/>
          <w:sz w:val="20"/>
          <w:szCs w:val="20"/>
        </w:rPr>
        <w:t xml:space="preserve"> </w:t>
      </w:r>
      <w:r w:rsidR="00B87492" w:rsidRPr="003F6F14">
        <w:rPr>
          <w:rFonts w:ascii="Arial" w:hAnsi="Arial" w:cs="Arial"/>
          <w:sz w:val="20"/>
          <w:szCs w:val="20"/>
        </w:rPr>
        <w:t xml:space="preserve">taxation tables </w:t>
      </w:r>
      <w:r w:rsidRPr="003F6F14">
        <w:rPr>
          <w:rFonts w:ascii="Arial" w:hAnsi="Arial" w:cs="Arial"/>
          <w:sz w:val="20"/>
          <w:szCs w:val="20"/>
        </w:rPr>
        <w:t>for rates)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1134"/>
        <w:gridCol w:w="1398"/>
        <w:gridCol w:w="1260"/>
        <w:gridCol w:w="1390"/>
        <w:gridCol w:w="1254"/>
        <w:gridCol w:w="1399"/>
      </w:tblGrid>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Heading6"/>
              <w:spacing w:line="276" w:lineRule="auto"/>
              <w:jc w:val="center"/>
              <w:rPr>
                <w:rFonts w:ascii="Arial" w:hAnsi="Arial" w:cs="Arial"/>
                <w:b w:val="0"/>
                <w:sz w:val="20"/>
                <w:szCs w:val="20"/>
              </w:rPr>
            </w:pPr>
            <w:r w:rsidRPr="003F6F14">
              <w:rPr>
                <w:rFonts w:ascii="Arial" w:hAnsi="Arial" w:cs="Arial"/>
                <w:b w:val="0"/>
                <w:sz w:val="20"/>
                <w:szCs w:val="20"/>
              </w:rPr>
              <w:t>First Year Allowance (FYA)</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iCs/>
                <w:sz w:val="20"/>
                <w:szCs w:val="20"/>
              </w:rPr>
              <w:t xml:space="preserve">Annual Investment Allowance(AIA)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General pool</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sz w:val="20"/>
                <w:szCs w:val="20"/>
              </w:rPr>
              <w:t>Special rate pool</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Short Life Asset</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r w:rsidRPr="003F6F14">
              <w:rPr>
                <w:rFonts w:ascii="Arial" w:hAnsi="Arial" w:cs="Arial"/>
                <w:iCs/>
                <w:sz w:val="20"/>
                <w:szCs w:val="20"/>
              </w:rPr>
              <w:t>Total allowances</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r>
              <w:rPr>
                <w:rFonts w:ascii="Arial" w:hAnsi="Arial" w:cs="Arial"/>
                <w:sz w:val="20"/>
                <w:szCs w:val="20"/>
              </w:rPr>
              <w:t>£</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WDV </w:t>
            </w:r>
            <w:proofErr w:type="spellStart"/>
            <w:r w:rsidRPr="003F6F14">
              <w:rPr>
                <w:rFonts w:ascii="Arial" w:hAnsi="Arial" w:cs="Arial"/>
                <w:sz w:val="20"/>
                <w:szCs w:val="20"/>
              </w:rPr>
              <w:t>b/f</w:t>
            </w:r>
            <w:proofErr w:type="spellEnd"/>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Additions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Disposals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Balancing allowance/balancing charge(BA/BC)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X/(X)</w:t>
            </w:r>
            <w:r w:rsidRPr="003F6F14">
              <w:rPr>
                <w:rFonts w:ascii="Arial" w:hAnsi="Arial" w:cs="Arial"/>
                <w:sz w:val="20"/>
                <w:szCs w:val="20"/>
              </w:rPr>
              <w:br/>
              <w:t xml:space="preserve">___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u w:val="double"/>
              </w:rPr>
            </w:pPr>
            <w:r w:rsidRPr="003F6F14">
              <w:rPr>
                <w:rFonts w:ascii="Arial" w:hAnsi="Arial" w:cs="Arial"/>
                <w:sz w:val="20"/>
                <w:szCs w:val="20"/>
                <w:u w:val="double"/>
              </w:rPr>
              <w:t xml:space="preserve">Nil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AIA/FYA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Writing down allowance@ 18% pa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Writing down allowance@ 8% pa</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br/>
              <w:t xml:space="preserve">___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___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after="240" w:line="276" w:lineRule="auto"/>
              <w:jc w:val="center"/>
              <w:rPr>
                <w:rFonts w:ascii="Arial" w:hAnsi="Arial" w:cs="Arial"/>
                <w:sz w:val="20"/>
                <w:szCs w:val="20"/>
              </w:rPr>
            </w:pP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WDV c/f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Nil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Nil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X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___ </w:t>
            </w:r>
          </w:p>
        </w:tc>
      </w:tr>
      <w:tr w:rsidR="00041B7F" w:rsidRPr="003F6F14" w:rsidTr="00041B7F">
        <w:trPr>
          <w:tblCellSpacing w:w="0" w:type="dxa"/>
        </w:trPr>
        <w:tc>
          <w:tcPr>
            <w:tcW w:w="1833"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rPr>
                <w:rFonts w:ascii="Arial" w:hAnsi="Arial" w:cs="Arial"/>
                <w:sz w:val="20"/>
                <w:szCs w:val="20"/>
              </w:rPr>
            </w:pPr>
            <w:r w:rsidRPr="003F6F14">
              <w:rPr>
                <w:rFonts w:ascii="Arial" w:hAnsi="Arial" w:cs="Arial"/>
                <w:sz w:val="20"/>
                <w:szCs w:val="20"/>
              </w:rPr>
              <w:t xml:space="preserve">Total </w:t>
            </w:r>
            <w:r>
              <w:rPr>
                <w:rFonts w:ascii="Arial" w:hAnsi="Arial" w:cs="Arial"/>
                <w:sz w:val="20"/>
                <w:szCs w:val="20"/>
              </w:rPr>
              <w:t>a</w:t>
            </w:r>
            <w:r w:rsidRPr="003F6F14">
              <w:rPr>
                <w:rFonts w:ascii="Arial" w:hAnsi="Arial" w:cs="Arial"/>
                <w:sz w:val="20"/>
                <w:szCs w:val="20"/>
              </w:rPr>
              <w:t xml:space="preserve">llowances </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8"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0"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254"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 xml:space="preserve">  </w:t>
            </w:r>
          </w:p>
        </w:tc>
        <w:tc>
          <w:tcPr>
            <w:tcW w:w="1399" w:type="dxa"/>
            <w:tcBorders>
              <w:top w:val="outset" w:sz="6" w:space="0" w:color="auto"/>
              <w:left w:val="outset" w:sz="6" w:space="0" w:color="auto"/>
              <w:bottom w:val="outset" w:sz="6" w:space="0" w:color="auto"/>
              <w:right w:val="outset" w:sz="6" w:space="0" w:color="auto"/>
            </w:tcBorders>
            <w:vAlign w:val="center"/>
            <w:hideMark/>
          </w:tcPr>
          <w:p w:rsidR="00041B7F" w:rsidRPr="003F6F14" w:rsidRDefault="00041B7F" w:rsidP="004B5E56">
            <w:pPr>
              <w:pStyle w:val="NormalWeb"/>
              <w:spacing w:line="276" w:lineRule="auto"/>
              <w:jc w:val="center"/>
              <w:rPr>
                <w:rFonts w:ascii="Arial" w:hAnsi="Arial" w:cs="Arial"/>
                <w:sz w:val="20"/>
                <w:szCs w:val="20"/>
              </w:rPr>
            </w:pPr>
            <w:r w:rsidRPr="003F6F14">
              <w:rPr>
                <w:rFonts w:ascii="Arial" w:hAnsi="Arial" w:cs="Arial"/>
                <w:sz w:val="20"/>
                <w:szCs w:val="20"/>
              </w:rPr>
              <w:t>X</w:t>
            </w:r>
            <w:r w:rsidRPr="003F6F14">
              <w:rPr>
                <w:rFonts w:ascii="Arial" w:hAnsi="Arial" w:cs="Arial"/>
                <w:sz w:val="20"/>
                <w:szCs w:val="20"/>
              </w:rPr>
              <w:br/>
              <w:t xml:space="preserve">=== </w:t>
            </w:r>
          </w:p>
        </w:tc>
      </w:tr>
    </w:tbl>
    <w:p w:rsidR="00041B7F" w:rsidRPr="003F6F14" w:rsidRDefault="00041B7F" w:rsidP="004B5E56">
      <w:pPr>
        <w:spacing w:line="276" w:lineRule="auto"/>
        <w:rPr>
          <w:rFonts w:ascii="Arial" w:hAnsi="Arial" w:cs="Arial"/>
          <w:sz w:val="20"/>
          <w:szCs w:val="20"/>
        </w:rPr>
      </w:pPr>
    </w:p>
    <w:p w:rsidR="00041B7F" w:rsidRPr="00041B7F" w:rsidRDefault="00041B7F" w:rsidP="004B5E56">
      <w:pPr>
        <w:pStyle w:val="ListParagraph"/>
        <w:numPr>
          <w:ilvl w:val="0"/>
          <w:numId w:val="10"/>
        </w:numPr>
        <w:spacing w:line="276" w:lineRule="auto"/>
        <w:rPr>
          <w:rFonts w:cs="Arial"/>
        </w:rPr>
      </w:pPr>
      <w:r w:rsidRPr="00041B7F">
        <w:rPr>
          <w:rFonts w:cs="Arial"/>
        </w:rPr>
        <w:t>Plant – defined by ‘function/setting’ distinction and case law.</w:t>
      </w:r>
    </w:p>
    <w:p w:rsidR="00041B7F" w:rsidRPr="00041B7F" w:rsidRDefault="00041B7F" w:rsidP="004B5E56">
      <w:pPr>
        <w:pStyle w:val="ListParagraph"/>
        <w:numPr>
          <w:ilvl w:val="0"/>
          <w:numId w:val="10"/>
        </w:numPr>
        <w:spacing w:line="276" w:lineRule="auto"/>
        <w:rPr>
          <w:rFonts w:cs="Arial"/>
        </w:rPr>
      </w:pPr>
      <w:r w:rsidRPr="00041B7F">
        <w:rPr>
          <w:rFonts w:cs="Arial"/>
        </w:rPr>
        <w:t>AIA – 100% allowance for expenditure (other than cars) in 12 month period (pro</w:t>
      </w:r>
      <w:r w:rsidR="005810D6">
        <w:rPr>
          <w:rFonts w:cs="Arial"/>
        </w:rPr>
        <w:t xml:space="preserve"> </w:t>
      </w:r>
      <w:r w:rsidRPr="00041B7F">
        <w:rPr>
          <w:rFonts w:cs="Arial"/>
        </w:rPr>
        <w:t>rata). Expenditure in excess of AIA qualifies for writing down allowance (WDA).</w:t>
      </w:r>
    </w:p>
    <w:p w:rsidR="00041B7F" w:rsidRPr="00041B7F" w:rsidRDefault="00041B7F" w:rsidP="004B5E56">
      <w:pPr>
        <w:pStyle w:val="ListParagraph"/>
        <w:numPr>
          <w:ilvl w:val="0"/>
          <w:numId w:val="10"/>
        </w:numPr>
        <w:spacing w:line="276" w:lineRule="auto"/>
        <w:rPr>
          <w:rFonts w:cs="Arial"/>
        </w:rPr>
      </w:pPr>
      <w:r w:rsidRPr="00041B7F">
        <w:rPr>
          <w:rFonts w:cs="Arial"/>
        </w:rPr>
        <w:t>Full WDA for the period is given regardless of date of purchase of item. WDA is scaled for periods other than 12 months.</w:t>
      </w:r>
    </w:p>
    <w:p w:rsidR="00041B7F" w:rsidRPr="00041B7F" w:rsidRDefault="00041B7F" w:rsidP="004B5E56">
      <w:pPr>
        <w:pStyle w:val="ListParagraph"/>
        <w:numPr>
          <w:ilvl w:val="0"/>
          <w:numId w:val="10"/>
        </w:numPr>
        <w:spacing w:line="276" w:lineRule="auto"/>
        <w:rPr>
          <w:rFonts w:cs="Arial"/>
        </w:rPr>
      </w:pPr>
      <w:r w:rsidRPr="00041B7F">
        <w:rPr>
          <w:rFonts w:cs="Arial"/>
        </w:rPr>
        <w:t>FYA – 100% allowance given on purchase of environmentally friendly cars and energy saving/water efficient plant. FYA is not scaled for short accounting periods.</w:t>
      </w:r>
    </w:p>
    <w:p w:rsidR="00041B7F" w:rsidRPr="00041B7F" w:rsidRDefault="00041B7F" w:rsidP="004B5E56">
      <w:pPr>
        <w:pStyle w:val="ListParagraph"/>
        <w:numPr>
          <w:ilvl w:val="0"/>
          <w:numId w:val="10"/>
        </w:numPr>
        <w:spacing w:line="276" w:lineRule="auto"/>
        <w:rPr>
          <w:rFonts w:cs="Arial"/>
        </w:rPr>
      </w:pPr>
      <w:r w:rsidRPr="00041B7F">
        <w:rPr>
          <w:rFonts w:cs="Arial"/>
        </w:rPr>
        <w:t xml:space="preserve">If the written down value (WDV) on the general pool (= WDV </w:t>
      </w:r>
      <w:proofErr w:type="spellStart"/>
      <w:r w:rsidRPr="00041B7F">
        <w:rPr>
          <w:rFonts w:cs="Arial"/>
        </w:rPr>
        <w:t>b/f</w:t>
      </w:r>
      <w:proofErr w:type="spellEnd"/>
      <w:r w:rsidRPr="00041B7F">
        <w:rPr>
          <w:rFonts w:cs="Arial"/>
        </w:rPr>
        <w:t xml:space="preserve"> + additions-disposals) is £1,000 or less then pool is written off as small pools annual writing down allowance.</w:t>
      </w:r>
    </w:p>
    <w:p w:rsidR="00041B7F" w:rsidRDefault="00041B7F" w:rsidP="004B5E56">
      <w:pPr>
        <w:pStyle w:val="ListParagraph"/>
        <w:numPr>
          <w:ilvl w:val="0"/>
          <w:numId w:val="10"/>
        </w:numPr>
        <w:spacing w:line="276" w:lineRule="auto"/>
        <w:rPr>
          <w:rFonts w:cs="Arial"/>
        </w:rPr>
      </w:pPr>
      <w:r w:rsidRPr="00041B7F">
        <w:rPr>
          <w:rFonts w:cs="Arial"/>
        </w:rPr>
        <w:t>Short life assets (SLA) – de-pool asset if life expected to be less than 8 years. Not available for cars.</w:t>
      </w:r>
      <w:r w:rsidRPr="003F6F14">
        <w:rPr>
          <w:rFonts w:cs="Arial"/>
        </w:rPr>
        <w:br/>
      </w:r>
    </w:p>
    <w:p w:rsidR="00041B7F" w:rsidRDefault="00041B7F" w:rsidP="004B5E56">
      <w:pPr>
        <w:spacing w:line="276" w:lineRule="auto"/>
        <w:rPr>
          <w:rFonts w:ascii="Arial" w:eastAsiaTheme="minorHAnsi" w:hAnsi="Arial" w:cs="Arial"/>
          <w:color w:val="000000" w:themeColor="text1"/>
          <w:sz w:val="20"/>
          <w:szCs w:val="20"/>
        </w:rPr>
      </w:pPr>
      <w:r>
        <w:rPr>
          <w:rFonts w:cs="Arial"/>
        </w:rPr>
        <w:br w:type="page"/>
      </w:r>
    </w:p>
    <w:p w:rsidR="00041B7F" w:rsidRPr="000A7A9D" w:rsidRDefault="00041B7F" w:rsidP="004B5E56">
      <w:pPr>
        <w:spacing w:line="276" w:lineRule="auto"/>
        <w:rPr>
          <w:rFonts w:ascii="Arial" w:hAnsi="Arial" w:cs="Arial"/>
        </w:rPr>
      </w:pPr>
      <w:r w:rsidRPr="000A7A9D">
        <w:rPr>
          <w:rFonts w:ascii="Arial" w:hAnsi="Arial" w:cs="Arial"/>
          <w:b/>
        </w:rPr>
        <w:t>Partnerships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Each partner is taxed like a sole trader on their share of the partnership profits</w:t>
      </w:r>
      <w:r>
        <w:rPr>
          <w:rFonts w:ascii="Arial" w:hAnsi="Arial" w:cs="Arial"/>
          <w:sz w:val="20"/>
          <w:szCs w:val="20"/>
        </w:rPr>
        <w:br/>
      </w:r>
    </w:p>
    <w:p w:rsidR="00041B7F" w:rsidRPr="00041B7F" w:rsidRDefault="00041B7F" w:rsidP="00F973DB">
      <w:pPr>
        <w:pStyle w:val="NormalWeb"/>
        <w:numPr>
          <w:ilvl w:val="0"/>
          <w:numId w:val="11"/>
        </w:numPr>
        <w:spacing w:before="0" w:after="120"/>
        <w:ind w:left="714" w:hanging="357"/>
        <w:rPr>
          <w:rFonts w:ascii="Arial" w:hAnsi="Arial" w:cs="Arial"/>
          <w:sz w:val="20"/>
          <w:szCs w:val="20"/>
        </w:rPr>
      </w:pPr>
      <w:r w:rsidRPr="00041B7F">
        <w:rPr>
          <w:rFonts w:ascii="Arial" w:hAnsi="Arial" w:cs="Arial"/>
          <w:sz w:val="20"/>
          <w:szCs w:val="20"/>
        </w:rPr>
        <w:t>First step is to share accounting profits between partners:</w:t>
      </w:r>
    </w:p>
    <w:p w:rsidR="00041B7F" w:rsidRPr="00041B7F" w:rsidRDefault="00041B7F" w:rsidP="00F973DB">
      <w:pPr>
        <w:pStyle w:val="NormalWeb"/>
        <w:numPr>
          <w:ilvl w:val="0"/>
          <w:numId w:val="12"/>
        </w:numPr>
        <w:spacing w:before="0" w:after="0"/>
        <w:ind w:left="992" w:hanging="357"/>
        <w:rPr>
          <w:rFonts w:ascii="Arial" w:hAnsi="Arial" w:cs="Arial"/>
          <w:sz w:val="20"/>
          <w:szCs w:val="20"/>
        </w:rPr>
      </w:pPr>
      <w:r w:rsidRPr="00041B7F">
        <w:rPr>
          <w:rFonts w:ascii="Arial" w:hAnsi="Arial" w:cs="Arial"/>
          <w:sz w:val="20"/>
          <w:szCs w:val="20"/>
        </w:rPr>
        <w:t>Allocate the correct salaries and interest on capital for the period to each partner.</w:t>
      </w:r>
      <w:r w:rsidRPr="00041B7F">
        <w:rPr>
          <w:rFonts w:ascii="Arial" w:hAnsi="Arial" w:cs="Arial"/>
          <w:sz w:val="20"/>
          <w:szCs w:val="20"/>
        </w:rPr>
        <w:br/>
      </w:r>
    </w:p>
    <w:p w:rsidR="00041B7F" w:rsidRPr="00041B7F" w:rsidRDefault="00041B7F" w:rsidP="00F973DB">
      <w:pPr>
        <w:pStyle w:val="NormalWeb"/>
        <w:numPr>
          <w:ilvl w:val="0"/>
          <w:numId w:val="12"/>
        </w:numPr>
        <w:spacing w:beforeAutospacing="1" w:afterAutospacing="1" w:line="276" w:lineRule="auto"/>
        <w:ind w:left="993"/>
        <w:rPr>
          <w:rFonts w:ascii="Arial" w:hAnsi="Arial" w:cs="Arial"/>
          <w:sz w:val="20"/>
          <w:szCs w:val="20"/>
        </w:rPr>
      </w:pPr>
      <w:r w:rsidRPr="00041B7F">
        <w:rPr>
          <w:rFonts w:ascii="Arial" w:hAnsi="Arial" w:cs="Arial"/>
          <w:sz w:val="20"/>
          <w:szCs w:val="20"/>
        </w:rPr>
        <w:t>Divide the remaining profit for each set of accounts between the partners based upon the profit sharing arrangement.</w:t>
      </w:r>
      <w:r w:rsidRPr="00041B7F">
        <w:rPr>
          <w:rFonts w:ascii="Arial" w:hAnsi="Arial" w:cs="Arial"/>
          <w:sz w:val="20"/>
          <w:szCs w:val="20"/>
        </w:rPr>
        <w:br/>
      </w:r>
    </w:p>
    <w:p w:rsidR="00041B7F" w:rsidRPr="00041B7F" w:rsidRDefault="00041B7F" w:rsidP="00F973DB">
      <w:pPr>
        <w:pStyle w:val="NormalWeb"/>
        <w:numPr>
          <w:ilvl w:val="0"/>
          <w:numId w:val="12"/>
        </w:numPr>
        <w:spacing w:beforeAutospacing="1" w:afterAutospacing="1" w:line="276" w:lineRule="auto"/>
        <w:ind w:left="993"/>
        <w:rPr>
          <w:rFonts w:ascii="Arial" w:hAnsi="Arial" w:cs="Arial"/>
          <w:sz w:val="20"/>
          <w:szCs w:val="20"/>
        </w:rPr>
      </w:pPr>
      <w:r w:rsidRPr="00041B7F">
        <w:rPr>
          <w:rFonts w:ascii="Arial" w:hAnsi="Arial" w:cs="Arial"/>
          <w:sz w:val="20"/>
          <w:szCs w:val="20"/>
        </w:rPr>
        <w:t>You may need to split the period if there is a change such as a partner joining or leaving.</w:t>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Opening year and cessation rules apply to partners individually when they join or leave the partnership.</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Allocate the profit for each partner to the correct tax year using usual basis period rules.</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Basis periods for continuing partners are unaffected by joiners or leavers.</w:t>
      </w:r>
      <w:r w:rsidRPr="00041B7F">
        <w:rPr>
          <w:rFonts w:ascii="Arial" w:hAnsi="Arial" w:cs="Arial"/>
          <w:sz w:val="20"/>
          <w:szCs w:val="20"/>
        </w:rPr>
        <w:br/>
      </w:r>
    </w:p>
    <w:p w:rsidR="00041B7F" w:rsidRPr="00041B7F" w:rsidRDefault="00041B7F" w:rsidP="004B5E56">
      <w:pPr>
        <w:pStyle w:val="NormalWeb"/>
        <w:numPr>
          <w:ilvl w:val="0"/>
          <w:numId w:val="11"/>
        </w:numPr>
        <w:spacing w:beforeAutospacing="1" w:afterAutospacing="1" w:line="276" w:lineRule="auto"/>
        <w:rPr>
          <w:rFonts w:ascii="Arial" w:hAnsi="Arial" w:cs="Arial"/>
          <w:sz w:val="20"/>
          <w:szCs w:val="20"/>
        </w:rPr>
      </w:pPr>
      <w:r w:rsidRPr="00041B7F">
        <w:rPr>
          <w:rFonts w:ascii="Arial" w:hAnsi="Arial" w:cs="Arial"/>
          <w:sz w:val="20"/>
          <w:szCs w:val="20"/>
        </w:rPr>
        <w:t>Each partner enters their share of profits for a tax year in the partnership pages of their own tax return.</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A8495B" w:rsidRDefault="00041B7F" w:rsidP="004B5E56">
      <w:pPr>
        <w:spacing w:line="276" w:lineRule="auto"/>
        <w:rPr>
          <w:rFonts w:ascii="Arial" w:hAnsi="Arial" w:cs="Arial"/>
          <w:b/>
        </w:rPr>
      </w:pPr>
      <w:r w:rsidRPr="00A8495B">
        <w:rPr>
          <w:rFonts w:ascii="Arial" w:hAnsi="Arial" w:cs="Arial"/>
          <w:b/>
        </w:rPr>
        <w:t>Trading losses for sole</w:t>
      </w:r>
      <w:r w:rsidR="00911D6B">
        <w:rPr>
          <w:rFonts w:ascii="Arial" w:hAnsi="Arial" w:cs="Arial"/>
          <w:b/>
        </w:rPr>
        <w:t xml:space="preserve"> </w:t>
      </w:r>
      <w:r w:rsidRPr="00A8495B">
        <w:rPr>
          <w:rFonts w:ascii="Arial" w:hAnsi="Arial" w:cs="Arial"/>
          <w:b/>
        </w:rPr>
        <w:t>traders and partners</w:t>
      </w:r>
    </w:p>
    <w:p w:rsidR="00041B7F" w:rsidRPr="00A71D64" w:rsidRDefault="00041B7F" w:rsidP="004B5E56">
      <w:pPr>
        <w:spacing w:line="276" w:lineRule="auto"/>
        <w:rPr>
          <w:rFonts w:ascii="Arial" w:hAnsi="Arial" w:cs="Arial"/>
          <w:b/>
          <w:sz w:val="22"/>
          <w:szCs w:val="22"/>
        </w:rPr>
      </w:pP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A loss is computed in the same way as a profit, making the same adjustments to the net profit as per the accounts and deducting capital allowances.</w:t>
      </w:r>
      <w:r w:rsidRPr="00654F18">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Set off of trading loss against total income</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Set off loss against total income of the preceding tax year and/or the tax year of loss</w:t>
      </w:r>
      <w:r w:rsidR="004F417A">
        <w:rPr>
          <w:rFonts w:ascii="Arial" w:hAnsi="Arial" w:cs="Arial"/>
          <w:sz w:val="20"/>
          <w:szCs w:val="20"/>
        </w:rPr>
        <w:t>,</w:t>
      </w:r>
      <w:r w:rsidRPr="00654F18">
        <w:rPr>
          <w:rFonts w:ascii="Arial" w:hAnsi="Arial" w:cs="Arial"/>
          <w:sz w:val="20"/>
          <w:szCs w:val="20"/>
        </w:rPr>
        <w:t xml:space="preserve"> </w:t>
      </w:r>
      <w:r w:rsidR="004F417A" w:rsidRPr="00654F18">
        <w:rPr>
          <w:rFonts w:ascii="Arial" w:hAnsi="Arial" w:cs="Arial"/>
          <w:sz w:val="20"/>
          <w:szCs w:val="20"/>
        </w:rPr>
        <w:t>e</w:t>
      </w:r>
      <w:r w:rsidRPr="00654F18">
        <w:rPr>
          <w:rFonts w:ascii="Arial" w:hAnsi="Arial" w:cs="Arial"/>
          <w:sz w:val="20"/>
          <w:szCs w:val="20"/>
        </w:rPr>
        <w:t xml:space="preserve">.g. </w:t>
      </w:r>
      <w:r w:rsidR="001B633C" w:rsidRPr="00654F18">
        <w:rPr>
          <w:rFonts w:ascii="Arial" w:hAnsi="Arial" w:cs="Arial"/>
          <w:sz w:val="20"/>
          <w:szCs w:val="20"/>
        </w:rPr>
        <w:t xml:space="preserve">loss </w:t>
      </w:r>
      <w:r w:rsidRPr="00654F18">
        <w:rPr>
          <w:rFonts w:ascii="Arial" w:hAnsi="Arial" w:cs="Arial"/>
          <w:sz w:val="20"/>
          <w:szCs w:val="20"/>
        </w:rPr>
        <w:t>in 2016/17 set off against total income in 2015/16 and/or 2016/17.</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Cannot restrict loss to preserve use of personal allowance so personal allowance may be wasted.</w:t>
      </w:r>
      <w:r w:rsidRPr="00654F18">
        <w:rPr>
          <w:rFonts w:ascii="Arial" w:hAnsi="Arial" w:cs="Arial"/>
          <w:sz w:val="20"/>
          <w:szCs w:val="20"/>
        </w:rPr>
        <w:br/>
      </w:r>
    </w:p>
    <w:p w:rsidR="00041B7F" w:rsidRPr="00A8495B"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For 2016/17 loss claim needed by 31 January 2019.</w:t>
      </w:r>
      <w:r w:rsidRPr="00A8495B">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Carry forward of trading losses</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If any loss remains unrelieved after current year and carry back claim has been made, or no such claims are made, then carry forward the loss against first available profits of the same trade.</w:t>
      </w:r>
      <w:r w:rsidRPr="00654F18">
        <w:rPr>
          <w:rFonts w:ascii="Arial" w:hAnsi="Arial" w:cs="Arial"/>
          <w:sz w:val="20"/>
          <w:szCs w:val="20"/>
        </w:rPr>
        <w:br/>
      </w:r>
    </w:p>
    <w:p w:rsidR="00041B7F" w:rsidRPr="00A8495B" w:rsidRDefault="00041B7F" w:rsidP="004B5E56">
      <w:pPr>
        <w:pStyle w:val="NormalWeb"/>
        <w:spacing w:line="276" w:lineRule="auto"/>
        <w:ind w:firstLine="360"/>
        <w:rPr>
          <w:rFonts w:ascii="Arial" w:hAnsi="Arial" w:cs="Arial"/>
          <w:b/>
          <w:sz w:val="20"/>
          <w:szCs w:val="20"/>
        </w:rPr>
      </w:pPr>
      <w:r w:rsidRPr="00A8495B">
        <w:rPr>
          <w:rFonts w:ascii="Arial" w:hAnsi="Arial" w:cs="Arial"/>
          <w:b/>
          <w:sz w:val="20"/>
          <w:szCs w:val="20"/>
        </w:rPr>
        <w:t>Choice of loss relief – consider the following:</w:t>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Utilize loss in the tax year in which income is taxed at a higher rate.</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Possible wastage of personal allowance.</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 xml:space="preserve">Review the projected future profits to ensure the loss can be </w:t>
      </w:r>
      <w:proofErr w:type="spellStart"/>
      <w:r w:rsidRPr="00654F18">
        <w:rPr>
          <w:rFonts w:ascii="Arial" w:hAnsi="Arial" w:cs="Arial"/>
          <w:sz w:val="20"/>
          <w:szCs w:val="20"/>
        </w:rPr>
        <w:t>utilised</w:t>
      </w:r>
      <w:proofErr w:type="spellEnd"/>
      <w:r w:rsidRPr="00654F18">
        <w:rPr>
          <w:rFonts w:ascii="Arial" w:hAnsi="Arial" w:cs="Arial"/>
          <w:sz w:val="20"/>
          <w:szCs w:val="20"/>
        </w:rPr>
        <w:t>.</w:t>
      </w:r>
      <w:r w:rsidRPr="00654F18">
        <w:rPr>
          <w:rFonts w:ascii="Arial" w:hAnsi="Arial" w:cs="Arial"/>
          <w:sz w:val="20"/>
          <w:szCs w:val="20"/>
        </w:rPr>
        <w:br/>
      </w:r>
    </w:p>
    <w:p w:rsidR="00041B7F" w:rsidRPr="00654F18" w:rsidRDefault="00041B7F" w:rsidP="004B5E56">
      <w:pPr>
        <w:pStyle w:val="NormalWeb"/>
        <w:numPr>
          <w:ilvl w:val="0"/>
          <w:numId w:val="11"/>
        </w:numPr>
        <w:spacing w:beforeAutospacing="1" w:afterAutospacing="1" w:line="276" w:lineRule="auto"/>
        <w:rPr>
          <w:rFonts w:ascii="Arial" w:hAnsi="Arial" w:cs="Arial"/>
          <w:sz w:val="20"/>
          <w:szCs w:val="20"/>
        </w:rPr>
      </w:pPr>
      <w:r w:rsidRPr="00654F18">
        <w:rPr>
          <w:rFonts w:ascii="Arial" w:hAnsi="Arial" w:cs="Arial"/>
          <w:sz w:val="20"/>
          <w:szCs w:val="20"/>
        </w:rPr>
        <w:t>If cash flow is important, a loss carry back claim may result in a tax refund being paid to the company.</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D72C0D" w:rsidRDefault="00041B7F" w:rsidP="004B5E56">
      <w:pPr>
        <w:spacing w:line="276" w:lineRule="auto"/>
        <w:rPr>
          <w:rFonts w:ascii="Arial" w:hAnsi="Arial" w:cs="Arial"/>
          <w:b/>
        </w:rPr>
      </w:pPr>
      <w:r>
        <w:rPr>
          <w:rFonts w:ascii="Arial" w:hAnsi="Arial" w:cs="Arial"/>
          <w:b/>
        </w:rPr>
        <w:t>Payment and administration –</w:t>
      </w:r>
      <w:r w:rsidRPr="00D72C0D">
        <w:rPr>
          <w:rFonts w:ascii="Arial" w:hAnsi="Arial" w:cs="Arial"/>
          <w:b/>
        </w:rPr>
        <w:t xml:space="preserve"> sole</w:t>
      </w:r>
      <w:r w:rsidR="00911D6B">
        <w:rPr>
          <w:rFonts w:ascii="Arial" w:hAnsi="Arial" w:cs="Arial"/>
          <w:b/>
        </w:rPr>
        <w:t xml:space="preserve"> </w:t>
      </w:r>
      <w:r w:rsidRPr="00D72C0D">
        <w:rPr>
          <w:rFonts w:ascii="Arial" w:hAnsi="Arial" w:cs="Arial"/>
          <w:b/>
        </w:rPr>
        <w:t>traders and partners</w:t>
      </w:r>
    </w:p>
    <w:p w:rsidR="00041B7F" w:rsidRPr="00D72C0D" w:rsidRDefault="00041B7F" w:rsidP="004B5E56">
      <w:pPr>
        <w:spacing w:line="276" w:lineRule="auto"/>
        <w:rPr>
          <w:rFonts w:ascii="Arial" w:hAnsi="Arial" w:cs="Arial"/>
          <w:b/>
          <w:sz w:val="20"/>
          <w:szCs w:val="20"/>
        </w:rPr>
      </w:pPr>
      <w:r w:rsidRPr="00A71D64">
        <w:rPr>
          <w:rFonts w:ascii="Arial" w:hAnsi="Arial" w:cs="Arial"/>
          <w:b/>
          <w:sz w:val="22"/>
          <w:szCs w:val="22"/>
        </w:rPr>
        <w:br/>
      </w:r>
      <w:r w:rsidRPr="00D72C0D">
        <w:rPr>
          <w:rFonts w:ascii="Arial" w:hAnsi="Arial" w:cs="Arial"/>
          <w:b/>
          <w:sz w:val="20"/>
          <w:szCs w:val="20"/>
        </w:rPr>
        <w:t>The return must be filed by:</w:t>
      </w:r>
    </w:p>
    <w:p w:rsidR="00041B7F" w:rsidRPr="00E56AC3" w:rsidRDefault="00041B7F" w:rsidP="004B5E56">
      <w:pPr>
        <w:numPr>
          <w:ilvl w:val="0"/>
          <w:numId w:val="14"/>
        </w:numPr>
        <w:spacing w:line="276" w:lineRule="auto"/>
        <w:rPr>
          <w:rFonts w:ascii="Arial" w:hAnsi="Arial" w:cs="Arial"/>
          <w:sz w:val="20"/>
          <w:szCs w:val="20"/>
        </w:rPr>
      </w:pPr>
      <w:r w:rsidRPr="00E56AC3">
        <w:rPr>
          <w:rFonts w:ascii="Arial" w:hAnsi="Arial" w:cs="Arial"/>
          <w:sz w:val="20"/>
          <w:szCs w:val="20"/>
        </w:rPr>
        <w:t xml:space="preserve">31 October following the end of the tax year if filing a paper </w:t>
      </w:r>
      <w:proofErr w:type="gramStart"/>
      <w:r w:rsidRPr="00E56AC3">
        <w:rPr>
          <w:rFonts w:ascii="Arial" w:hAnsi="Arial" w:cs="Arial"/>
          <w:sz w:val="20"/>
          <w:szCs w:val="20"/>
        </w:rPr>
        <w:t>return</w:t>
      </w:r>
      <w:proofErr w:type="gramEnd"/>
      <w:r w:rsidRPr="00E56AC3">
        <w:rPr>
          <w:rFonts w:ascii="Arial" w:hAnsi="Arial" w:cs="Arial"/>
          <w:sz w:val="20"/>
          <w:szCs w:val="20"/>
        </w:rPr>
        <w:t>.</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31 January following the end of the tax year if filing online.</w:t>
      </w:r>
    </w:p>
    <w:p w:rsidR="00041B7F" w:rsidRPr="00D72C0D" w:rsidRDefault="00041B7F" w:rsidP="004B5E56">
      <w:pPr>
        <w:spacing w:line="276" w:lineRule="auto"/>
        <w:rPr>
          <w:rFonts w:ascii="Arial" w:hAnsi="Arial" w:cs="Arial"/>
          <w:b/>
          <w:sz w:val="20"/>
          <w:szCs w:val="20"/>
        </w:rPr>
      </w:pPr>
      <w:r w:rsidRPr="00D72C0D">
        <w:rPr>
          <w:rFonts w:ascii="Arial" w:hAnsi="Arial" w:cs="Arial"/>
          <w:b/>
          <w:sz w:val="20"/>
          <w:szCs w:val="20"/>
        </w:rPr>
        <w:t>Penalties for late filing and payment</w:t>
      </w:r>
    </w:p>
    <w:tbl>
      <w:tblPr>
        <w:tblpPr w:leftFromText="180" w:rightFromText="180" w:vertAnchor="text" w:horzAnchor="margin" w:tblpY="120"/>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701"/>
        <w:gridCol w:w="5953"/>
      </w:tblGrid>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Late filing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Late payment</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b/>
                <w:bCs/>
                <w:color w:val="333333"/>
                <w:spacing w:val="2"/>
                <w:sz w:val="20"/>
                <w:szCs w:val="20"/>
                <w:lang w:eastAsia="en-GB"/>
              </w:rPr>
              <w:t>Penalty</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Miss filing deadline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£100</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30 days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due or £300, if greater</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3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Daily penalty £10 per day for up to 90 days (max £900)</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6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due or £300, if greater</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6 months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outstanding at that date</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late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or £300 if greater</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late</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5% of tax outstanding at that date</w:t>
            </w:r>
          </w:p>
        </w:tc>
      </w:tr>
      <w:tr w:rsidR="00041B7F" w:rsidRPr="00D72C0D" w:rsidTr="00041B7F">
        <w:trPr>
          <w:trHeight w:val="340"/>
        </w:trPr>
        <w:tc>
          <w:tcPr>
            <w:tcW w:w="2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12 months and information deliberately withheld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Based on behaviour: </w:t>
            </w:r>
          </w:p>
          <w:p w:rsidR="00041B7F" w:rsidRPr="00D72C0D" w:rsidRDefault="00041B7F" w:rsidP="004B5E56">
            <w:pPr>
              <w:numPr>
                <w:ilvl w:val="0"/>
                <w:numId w:val="13"/>
              </w:numPr>
              <w:spacing w:line="276" w:lineRule="auto"/>
              <w:ind w:left="147" w:firstLine="0"/>
              <w:rPr>
                <w:rFonts w:ascii="Arial" w:hAnsi="Arial" w:cs="Arial"/>
                <w:color w:val="333333"/>
                <w:spacing w:val="2"/>
                <w:sz w:val="20"/>
                <w:szCs w:val="20"/>
                <w:lang w:eastAsia="en-GB"/>
              </w:rPr>
            </w:pPr>
            <w:proofErr w:type="gramStart"/>
            <w:r w:rsidRPr="00D72C0D">
              <w:rPr>
                <w:rFonts w:ascii="Arial" w:hAnsi="Arial" w:cs="Arial"/>
                <w:color w:val="333333"/>
                <w:spacing w:val="2"/>
                <w:sz w:val="20"/>
                <w:szCs w:val="20"/>
                <w:lang w:eastAsia="en-GB"/>
              </w:rPr>
              <w:t>deliberate</w:t>
            </w:r>
            <w:proofErr w:type="gramEnd"/>
            <w:r w:rsidRPr="00D72C0D">
              <w:rPr>
                <w:rFonts w:ascii="Arial" w:hAnsi="Arial" w:cs="Arial"/>
                <w:color w:val="333333"/>
                <w:spacing w:val="2"/>
                <w:sz w:val="20"/>
                <w:szCs w:val="20"/>
                <w:lang w:eastAsia="en-GB"/>
              </w:rPr>
              <w:t xml:space="preserve"> and concealed withholding 100% of tax due, or </w:t>
            </w:r>
            <w:r>
              <w:rPr>
                <w:rFonts w:ascii="Arial" w:hAnsi="Arial" w:cs="Arial"/>
                <w:color w:val="333333"/>
                <w:spacing w:val="2"/>
                <w:sz w:val="20"/>
                <w:szCs w:val="20"/>
                <w:lang w:eastAsia="en-GB"/>
              </w:rPr>
              <w:tab/>
            </w:r>
            <w:r w:rsidRPr="00D72C0D">
              <w:rPr>
                <w:rFonts w:ascii="Arial" w:hAnsi="Arial" w:cs="Arial"/>
                <w:color w:val="333333"/>
                <w:spacing w:val="2"/>
                <w:sz w:val="20"/>
                <w:szCs w:val="20"/>
                <w:lang w:eastAsia="en-GB"/>
              </w:rPr>
              <w:t>£300 if greater.</w:t>
            </w:r>
          </w:p>
          <w:p w:rsidR="00041B7F" w:rsidRPr="00D72C0D" w:rsidRDefault="00041B7F" w:rsidP="004B5E56">
            <w:pPr>
              <w:numPr>
                <w:ilvl w:val="0"/>
                <w:numId w:val="13"/>
              </w:numPr>
              <w:spacing w:line="276" w:lineRule="auto"/>
              <w:ind w:left="147" w:firstLine="0"/>
              <w:rPr>
                <w:rFonts w:ascii="Arial" w:hAnsi="Arial" w:cs="Arial"/>
                <w:color w:val="333333"/>
                <w:spacing w:val="2"/>
                <w:sz w:val="20"/>
                <w:szCs w:val="20"/>
                <w:lang w:eastAsia="en-GB"/>
              </w:rPr>
            </w:pPr>
            <w:proofErr w:type="gramStart"/>
            <w:r w:rsidRPr="00D72C0D">
              <w:rPr>
                <w:rFonts w:ascii="Arial" w:hAnsi="Arial" w:cs="Arial"/>
                <w:color w:val="333333"/>
                <w:spacing w:val="2"/>
                <w:sz w:val="20"/>
                <w:szCs w:val="20"/>
                <w:lang w:eastAsia="en-GB"/>
              </w:rPr>
              <w:t>deliberate</w:t>
            </w:r>
            <w:proofErr w:type="gramEnd"/>
            <w:r w:rsidRPr="00D72C0D">
              <w:rPr>
                <w:rFonts w:ascii="Arial" w:hAnsi="Arial" w:cs="Arial"/>
                <w:color w:val="333333"/>
                <w:spacing w:val="2"/>
                <w:sz w:val="20"/>
                <w:szCs w:val="20"/>
                <w:lang w:eastAsia="en-GB"/>
              </w:rPr>
              <w:t xml:space="preserve"> but not concealed 70% of tax due, or £300 if </w:t>
            </w:r>
            <w:r>
              <w:rPr>
                <w:rFonts w:ascii="Arial" w:hAnsi="Arial" w:cs="Arial"/>
                <w:color w:val="333333"/>
                <w:spacing w:val="2"/>
                <w:sz w:val="20"/>
                <w:szCs w:val="20"/>
                <w:lang w:eastAsia="en-GB"/>
              </w:rPr>
              <w:tab/>
            </w:r>
            <w:r w:rsidRPr="00D72C0D">
              <w:rPr>
                <w:rFonts w:ascii="Arial" w:hAnsi="Arial" w:cs="Arial"/>
                <w:color w:val="333333"/>
                <w:spacing w:val="2"/>
                <w:sz w:val="20"/>
                <w:szCs w:val="20"/>
                <w:lang w:eastAsia="en-GB"/>
              </w:rPr>
              <w:t>greater.</w:t>
            </w:r>
          </w:p>
          <w:p w:rsidR="00041B7F" w:rsidRPr="00D72C0D" w:rsidRDefault="00041B7F" w:rsidP="004B5E56">
            <w:pPr>
              <w:spacing w:line="276" w:lineRule="auto"/>
              <w:ind w:left="147"/>
              <w:rPr>
                <w:rFonts w:ascii="Arial" w:hAnsi="Arial" w:cs="Arial"/>
                <w:color w:val="333333"/>
                <w:spacing w:val="2"/>
                <w:sz w:val="20"/>
                <w:szCs w:val="20"/>
                <w:lang w:eastAsia="en-GB"/>
              </w:rPr>
            </w:pPr>
            <w:r w:rsidRPr="00D72C0D">
              <w:rPr>
                <w:rFonts w:ascii="Arial" w:hAnsi="Arial" w:cs="Arial"/>
                <w:color w:val="333333"/>
                <w:spacing w:val="2"/>
                <w:sz w:val="20"/>
                <w:szCs w:val="20"/>
                <w:lang w:eastAsia="en-GB"/>
              </w:rPr>
              <w:t xml:space="preserve">Reductions of up to half of the above </w:t>
            </w:r>
            <w:proofErr w:type="gramStart"/>
            <w:r w:rsidRPr="00D72C0D">
              <w:rPr>
                <w:rFonts w:ascii="Arial" w:hAnsi="Arial" w:cs="Arial"/>
                <w:color w:val="333333"/>
                <w:spacing w:val="2"/>
                <w:sz w:val="20"/>
                <w:szCs w:val="20"/>
                <w:lang w:eastAsia="en-GB"/>
              </w:rPr>
              <w:t>%’s</w:t>
            </w:r>
            <w:proofErr w:type="gramEnd"/>
            <w:r w:rsidRPr="00D72C0D">
              <w:rPr>
                <w:rFonts w:ascii="Arial" w:hAnsi="Arial" w:cs="Arial"/>
                <w:color w:val="333333"/>
                <w:spacing w:val="2"/>
                <w:sz w:val="20"/>
                <w:szCs w:val="20"/>
                <w:lang w:eastAsia="en-GB"/>
              </w:rPr>
              <w:t xml:space="preserve"> apply for cooperation with investigation.</w:t>
            </w:r>
          </w:p>
        </w:tc>
      </w:tr>
    </w:tbl>
    <w:p w:rsidR="00041B7F" w:rsidRDefault="00041B7F" w:rsidP="004B5E56">
      <w:pPr>
        <w:pStyle w:val="NormalWeb"/>
        <w:spacing w:line="276" w:lineRule="auto"/>
        <w:rPr>
          <w:rFonts w:ascii="Arial" w:hAnsi="Arial" w:cs="Arial"/>
          <w:b/>
          <w:sz w:val="20"/>
          <w:szCs w:val="20"/>
        </w:rPr>
      </w:pPr>
    </w:p>
    <w:p w:rsidR="00041B7F" w:rsidRPr="00D72C0D" w:rsidRDefault="00041B7F" w:rsidP="004B5E56">
      <w:pPr>
        <w:pStyle w:val="NormalWeb"/>
        <w:spacing w:line="276" w:lineRule="auto"/>
        <w:rPr>
          <w:rFonts w:ascii="Arial" w:hAnsi="Arial" w:cs="Arial"/>
          <w:b/>
          <w:sz w:val="20"/>
          <w:szCs w:val="20"/>
        </w:rPr>
      </w:pPr>
      <w:r w:rsidRPr="00D72C0D">
        <w:rPr>
          <w:rFonts w:ascii="Arial" w:hAnsi="Arial" w:cs="Arial"/>
          <w:b/>
          <w:sz w:val="20"/>
          <w:szCs w:val="20"/>
        </w:rPr>
        <w:t xml:space="preserve">Disclosure </w:t>
      </w:r>
      <w:r w:rsidR="00854AFE">
        <w:rPr>
          <w:rFonts w:ascii="Arial" w:hAnsi="Arial" w:cs="Arial"/>
          <w:b/>
          <w:sz w:val="20"/>
          <w:szCs w:val="20"/>
        </w:rPr>
        <w:t>and</w:t>
      </w:r>
      <w:r w:rsidRPr="00D72C0D">
        <w:rPr>
          <w:rFonts w:ascii="Arial" w:hAnsi="Arial" w:cs="Arial"/>
          <w:b/>
          <w:sz w:val="20"/>
          <w:szCs w:val="20"/>
        </w:rPr>
        <w:t xml:space="preserve"> errors</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Taxpayer must notify HMRC by 5 October following end of the tax year if a tax return is needed.</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Taxpayer can amend a tax return within 12 months of filing date or make an error or mistake claim within 3 years of the filing date.</w:t>
      </w:r>
    </w:p>
    <w:p w:rsidR="00041B7F" w:rsidRPr="00D72C0D" w:rsidRDefault="00041B7F" w:rsidP="004B5E56">
      <w:pPr>
        <w:pStyle w:val="NormalWeb"/>
        <w:spacing w:line="276" w:lineRule="auto"/>
        <w:rPr>
          <w:rFonts w:ascii="Arial" w:hAnsi="Arial" w:cs="Arial"/>
          <w:b/>
          <w:sz w:val="20"/>
          <w:szCs w:val="20"/>
        </w:rPr>
      </w:pPr>
      <w:r w:rsidRPr="00D72C0D">
        <w:rPr>
          <w:rFonts w:ascii="Arial" w:hAnsi="Arial" w:cs="Arial"/>
          <w:b/>
          <w:sz w:val="20"/>
          <w:szCs w:val="20"/>
        </w:rPr>
        <w:t>Payments on account (POA)</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Due 31 January (in tax year) and 31 July (after tax year end). Each instalment is 50% of the previous year’s tax and Class 4</w:t>
      </w:r>
      <w:r w:rsidR="00DC2D51">
        <w:rPr>
          <w:rFonts w:ascii="Arial" w:hAnsi="Arial" w:cs="Arial"/>
          <w:sz w:val="20"/>
          <w:szCs w:val="20"/>
        </w:rPr>
        <w:t xml:space="preserve"> National Insurance contribution</w:t>
      </w:r>
      <w:r w:rsidRPr="00E56AC3">
        <w:rPr>
          <w:rFonts w:ascii="Arial" w:hAnsi="Arial" w:cs="Arial"/>
          <w:sz w:val="20"/>
          <w:szCs w:val="20"/>
        </w:rPr>
        <w:t xml:space="preserve"> </w:t>
      </w:r>
      <w:r w:rsidR="00DC2D51">
        <w:rPr>
          <w:rFonts w:ascii="Arial" w:hAnsi="Arial" w:cs="Arial"/>
          <w:sz w:val="20"/>
          <w:szCs w:val="20"/>
        </w:rPr>
        <w:t>(</w:t>
      </w:r>
      <w:r w:rsidRPr="00E56AC3">
        <w:rPr>
          <w:rFonts w:ascii="Arial" w:hAnsi="Arial" w:cs="Arial"/>
          <w:sz w:val="20"/>
          <w:szCs w:val="20"/>
        </w:rPr>
        <w:t>NIC</w:t>
      </w:r>
      <w:r w:rsidR="00DC2D51">
        <w:rPr>
          <w:rFonts w:ascii="Arial" w:hAnsi="Arial" w:cs="Arial"/>
          <w:sz w:val="20"/>
          <w:szCs w:val="20"/>
        </w:rPr>
        <w:t>)</w:t>
      </w:r>
      <w:r w:rsidRPr="00E56AC3">
        <w:rPr>
          <w:rFonts w:ascii="Arial" w:hAnsi="Arial" w:cs="Arial"/>
          <w:sz w:val="20"/>
          <w:szCs w:val="20"/>
        </w:rPr>
        <w:t xml:space="preserve"> liability.</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Balancing payment made 31 January after tax year end.</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No POA due if last year’s tax and Class 4 NIC liability less than £1,000 or greater than 80% if last year’s liability was deducted at source.</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Can reduce POA if this year’s liability expected to be less than last year’s. Penalties will be charged if a deliberate incorrect claim is made.</w:t>
      </w:r>
    </w:p>
    <w:p w:rsidR="00041B7F" w:rsidRPr="00E56AC3" w:rsidRDefault="00041B7F" w:rsidP="004B5E56">
      <w:pPr>
        <w:pStyle w:val="NormalWeb"/>
        <w:numPr>
          <w:ilvl w:val="0"/>
          <w:numId w:val="11"/>
        </w:numPr>
        <w:spacing w:beforeAutospacing="1" w:afterAutospacing="1" w:line="276" w:lineRule="auto"/>
        <w:rPr>
          <w:rFonts w:ascii="Arial" w:hAnsi="Arial" w:cs="Arial"/>
          <w:sz w:val="20"/>
          <w:szCs w:val="20"/>
        </w:rPr>
      </w:pPr>
      <w:r w:rsidRPr="00E56AC3">
        <w:rPr>
          <w:rFonts w:ascii="Arial" w:hAnsi="Arial" w:cs="Arial"/>
          <w:sz w:val="20"/>
          <w:szCs w:val="20"/>
        </w:rPr>
        <w:t xml:space="preserve">Capital gains tax (CGT) liability </w:t>
      </w:r>
      <w:r>
        <w:rPr>
          <w:rFonts w:ascii="Arial" w:hAnsi="Arial" w:cs="Arial"/>
          <w:sz w:val="20"/>
          <w:szCs w:val="20"/>
        </w:rPr>
        <w:t xml:space="preserve">is </w:t>
      </w:r>
      <w:r w:rsidRPr="00E56AC3">
        <w:rPr>
          <w:rFonts w:ascii="Arial" w:hAnsi="Arial" w:cs="Arial"/>
          <w:sz w:val="20"/>
          <w:szCs w:val="20"/>
        </w:rPr>
        <w:t>paid 31 January following the tax year end. No POA needed for CGT.</w:t>
      </w:r>
    </w:p>
    <w:p w:rsidR="00041B7F" w:rsidRPr="00D72C0D" w:rsidRDefault="00041B7F" w:rsidP="004B5E56">
      <w:pPr>
        <w:pStyle w:val="NormalWeb"/>
        <w:spacing w:beforeAutospacing="1" w:afterAutospacing="1" w:line="276" w:lineRule="auto"/>
        <w:rPr>
          <w:rFonts w:ascii="Arial" w:hAnsi="Arial" w:cs="Arial"/>
          <w:b/>
          <w:sz w:val="20"/>
          <w:szCs w:val="20"/>
        </w:rPr>
      </w:pPr>
      <w:r w:rsidRPr="00D72C0D">
        <w:rPr>
          <w:rFonts w:ascii="Arial" w:hAnsi="Arial" w:cs="Arial"/>
          <w:b/>
          <w:sz w:val="20"/>
          <w:szCs w:val="20"/>
        </w:rPr>
        <w:t>Interest on tax paid late/overpaid tax</w:t>
      </w:r>
    </w:p>
    <w:p w:rsidR="00041B7F" w:rsidRPr="00E56AC3" w:rsidRDefault="00041B7F" w:rsidP="004B5E56">
      <w:pPr>
        <w:pStyle w:val="ListParagraph"/>
        <w:numPr>
          <w:ilvl w:val="0"/>
          <w:numId w:val="11"/>
        </w:numPr>
        <w:spacing w:after="200" w:line="276" w:lineRule="auto"/>
        <w:rPr>
          <w:rFonts w:cs="Arial"/>
        </w:rPr>
      </w:pPr>
      <w:r w:rsidRPr="00E56AC3">
        <w:rPr>
          <w:rFonts w:cs="Arial"/>
        </w:rPr>
        <w:t>Interest charged daily on late payment.</w:t>
      </w:r>
    </w:p>
    <w:p w:rsidR="00041B7F" w:rsidRPr="008C2387"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Default="00041B7F" w:rsidP="004B5E56">
      <w:pPr>
        <w:pStyle w:val="NormalWeb"/>
        <w:spacing w:line="276" w:lineRule="auto"/>
        <w:rPr>
          <w:rFonts w:ascii="Arial" w:hAnsi="Arial" w:cs="Arial"/>
          <w:b/>
        </w:rPr>
      </w:pPr>
      <w:r w:rsidRPr="0000299C">
        <w:rPr>
          <w:rFonts w:ascii="Arial" w:hAnsi="Arial" w:cs="Arial"/>
          <w:b/>
        </w:rPr>
        <w:t>Enquiries and other penalties</w:t>
      </w:r>
    </w:p>
    <w:p w:rsidR="00041B7F" w:rsidRPr="0000299C" w:rsidRDefault="00041B7F" w:rsidP="004B5E56">
      <w:pPr>
        <w:pStyle w:val="NormalWeb"/>
        <w:spacing w:line="276" w:lineRule="auto"/>
        <w:rPr>
          <w:rFonts w:ascii="Arial" w:hAnsi="Arial" w:cs="Arial"/>
          <w:b/>
        </w:rPr>
      </w:pPr>
    </w:p>
    <w:p w:rsidR="00041B7F" w:rsidRPr="00257D06" w:rsidRDefault="00041B7F" w:rsidP="004B5E56">
      <w:pPr>
        <w:pStyle w:val="ListParagraph"/>
        <w:numPr>
          <w:ilvl w:val="0"/>
          <w:numId w:val="5"/>
        </w:numPr>
        <w:spacing w:after="200" w:line="276" w:lineRule="auto"/>
        <w:rPr>
          <w:rFonts w:cs="Arial"/>
        </w:rPr>
      </w:pPr>
      <w:r w:rsidRPr="0000299C">
        <w:rPr>
          <w:rFonts w:cs="Arial"/>
        </w:rPr>
        <w:t xml:space="preserve">HMRC </w:t>
      </w:r>
      <w:r w:rsidRPr="00257D06">
        <w:rPr>
          <w:rFonts w:cs="Arial"/>
        </w:rPr>
        <w:t>must notify individual of enquiry within 12 months of submission of return.</w:t>
      </w:r>
    </w:p>
    <w:p w:rsidR="00041B7F" w:rsidRPr="00257D06" w:rsidRDefault="00041B7F" w:rsidP="004B5E56">
      <w:pPr>
        <w:pStyle w:val="ListParagraph"/>
        <w:numPr>
          <w:ilvl w:val="0"/>
          <w:numId w:val="5"/>
        </w:numPr>
        <w:spacing w:after="200" w:line="276" w:lineRule="auto"/>
        <w:rPr>
          <w:rFonts w:cs="Arial"/>
        </w:rPr>
      </w:pPr>
      <w:r w:rsidRPr="00257D06">
        <w:rPr>
          <w:rFonts w:cs="Arial"/>
        </w:rPr>
        <w:t>Basis of enquiry – random or HMRC believe income/expenses misstated.</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Penalty for failure to produce enquiry documents = £50 + £30 per day.</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Penalty for failure to keep proper records is up to £3,000. Records must be kept for 5 years after the filing date for the relevant tax year.</w:t>
      </w:r>
    </w:p>
    <w:p w:rsidR="00041B7F" w:rsidRPr="00257D06" w:rsidRDefault="00041B7F" w:rsidP="004B5E56">
      <w:pPr>
        <w:pStyle w:val="ListParagraph"/>
        <w:numPr>
          <w:ilvl w:val="0"/>
          <w:numId w:val="5"/>
        </w:numPr>
        <w:spacing w:after="200" w:line="276" w:lineRule="auto"/>
        <w:rPr>
          <w:rFonts w:cs="Arial"/>
        </w:rPr>
      </w:pPr>
      <w:r w:rsidRPr="00257D06">
        <w:rPr>
          <w:rFonts w:cs="Arial"/>
        </w:rPr>
        <w:t>Penalties for incorrect returns are:</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1"/>
        <w:gridCol w:w="1701"/>
        <w:gridCol w:w="1701"/>
        <w:gridCol w:w="1424"/>
      </w:tblGrid>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Type of behaviour</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Maximum</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Unprompted (minimum)</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Prompted (minimum)</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Genuine mistake: despite taking reasonable care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Careless error and inaccuracy is due to failure to take reasonable care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15%</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Deliberate error but not concealed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70%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20%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35%</w:t>
            </w:r>
          </w:p>
        </w:tc>
      </w:tr>
      <w:tr w:rsidR="00041B7F" w:rsidRPr="0000299C" w:rsidTr="00041B7F">
        <w:trPr>
          <w:trHeight w:val="567"/>
        </w:trPr>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24F63">
            <w:pPr>
              <w:ind w:left="142"/>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Deliberate error and concealed</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100%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30%</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B7F" w:rsidRPr="0000299C" w:rsidRDefault="00041B7F" w:rsidP="004B5E56">
            <w:pPr>
              <w:spacing w:line="276" w:lineRule="auto"/>
              <w:ind w:left="142"/>
              <w:jc w:val="center"/>
              <w:rPr>
                <w:rFonts w:ascii="Arial" w:hAnsi="Arial" w:cs="Arial"/>
                <w:color w:val="333333"/>
                <w:spacing w:val="2"/>
                <w:sz w:val="20"/>
                <w:szCs w:val="20"/>
                <w:lang w:eastAsia="en-GB"/>
              </w:rPr>
            </w:pPr>
            <w:r w:rsidRPr="0000299C">
              <w:rPr>
                <w:rFonts w:ascii="Arial" w:hAnsi="Arial" w:cs="Arial"/>
                <w:color w:val="333333"/>
                <w:spacing w:val="2"/>
                <w:sz w:val="20"/>
                <w:szCs w:val="20"/>
                <w:lang w:eastAsia="en-GB"/>
              </w:rPr>
              <w:t>50%</w:t>
            </w:r>
          </w:p>
        </w:tc>
      </w:tr>
    </w:tbl>
    <w:p w:rsidR="00041B7F" w:rsidRPr="00DD0413" w:rsidRDefault="00041B7F" w:rsidP="004B5E56">
      <w:pPr>
        <w:spacing w:line="276" w:lineRule="auto"/>
        <w:rPr>
          <w:sz w:val="20"/>
          <w:szCs w:val="20"/>
        </w:rPr>
      </w:pPr>
    </w:p>
    <w:p w:rsidR="00041B7F" w:rsidRDefault="00041B7F" w:rsidP="004B5E56">
      <w:pPr>
        <w:spacing w:line="276" w:lineRule="auto"/>
        <w:rPr>
          <w:rFonts w:cs="Arial"/>
        </w:rPr>
      </w:pPr>
      <w:r>
        <w:rPr>
          <w:rFonts w:cs="Arial"/>
        </w:rPr>
        <w:br w:type="page"/>
      </w:r>
    </w:p>
    <w:p w:rsidR="00041B7F" w:rsidRPr="004B5E56" w:rsidRDefault="00041B7F" w:rsidP="004B5E56">
      <w:pPr>
        <w:spacing w:line="276" w:lineRule="auto"/>
        <w:rPr>
          <w:rFonts w:ascii="Arial" w:hAnsi="Arial" w:cs="Arial"/>
          <w:b/>
          <w:sz w:val="22"/>
          <w:szCs w:val="22"/>
        </w:rPr>
      </w:pPr>
      <w:r w:rsidRPr="00A71D64">
        <w:rPr>
          <w:rFonts w:ascii="Arial" w:hAnsi="Arial" w:cs="Arial"/>
          <w:b/>
          <w:sz w:val="22"/>
          <w:szCs w:val="22"/>
        </w:rPr>
        <w:t xml:space="preserve">National Insurance </w:t>
      </w:r>
      <w:r w:rsidR="008E3C88">
        <w:rPr>
          <w:rFonts w:ascii="Arial" w:hAnsi="Arial" w:cs="Arial"/>
          <w:b/>
          <w:sz w:val="22"/>
          <w:szCs w:val="22"/>
        </w:rPr>
        <w:t>c</w:t>
      </w:r>
      <w:r w:rsidR="008E3C88" w:rsidRPr="00A71D64">
        <w:rPr>
          <w:rFonts w:ascii="Arial" w:hAnsi="Arial" w:cs="Arial"/>
          <w:b/>
          <w:sz w:val="22"/>
          <w:szCs w:val="22"/>
        </w:rPr>
        <w:t>ontributions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ListParagraph"/>
        <w:numPr>
          <w:ilvl w:val="0"/>
          <w:numId w:val="5"/>
        </w:numPr>
        <w:spacing w:before="100" w:beforeAutospacing="1" w:after="100" w:afterAutospacing="1" w:line="276" w:lineRule="auto"/>
        <w:rPr>
          <w:rFonts w:cs="Arial"/>
          <w:lang w:eastAsia="en-GB"/>
        </w:rPr>
      </w:pPr>
      <w:r w:rsidRPr="00041B7F">
        <w:rPr>
          <w:rFonts w:cs="Arial"/>
          <w:lang w:eastAsia="en-GB"/>
        </w:rPr>
        <w:t>Self-employed individuals pay Class 2 and Class 4 contributions.</w:t>
      </w:r>
      <w:r w:rsidRPr="00041B7F">
        <w:rPr>
          <w:rFonts w:cs="Arial"/>
          <w:lang w:eastAsia="en-GB"/>
        </w:rPr>
        <w:br/>
      </w:r>
    </w:p>
    <w:p w:rsidR="00041B7F" w:rsidRPr="00C6342D" w:rsidRDefault="00041B7F" w:rsidP="00424F63">
      <w:pPr>
        <w:pStyle w:val="ListParagraph"/>
        <w:spacing w:before="100" w:beforeAutospacing="1" w:after="100" w:afterAutospacing="1" w:line="276" w:lineRule="auto"/>
        <w:rPr>
          <w:rFonts w:cs="Arial"/>
          <w:lang w:eastAsia="en-GB"/>
        </w:rPr>
      </w:pPr>
      <w:r w:rsidRPr="00C6342D">
        <w:rPr>
          <w:rFonts w:cs="Arial"/>
          <w:lang w:eastAsia="en-GB"/>
        </w:rPr>
        <w:t>Class 4 contributions are at 9% on profits between the lower and upper limits</w:t>
      </w:r>
      <w:r w:rsidR="00415B55" w:rsidRPr="00C6342D">
        <w:rPr>
          <w:rFonts w:cs="Arial"/>
          <w:lang w:eastAsia="en-GB"/>
        </w:rPr>
        <w:t>,</w:t>
      </w:r>
      <w:r w:rsidRPr="00C6342D">
        <w:rPr>
          <w:rFonts w:cs="Arial"/>
          <w:lang w:eastAsia="en-GB"/>
        </w:rPr>
        <w:t xml:space="preserve"> </w:t>
      </w:r>
      <w:r w:rsidR="00415B55" w:rsidRPr="00C6342D">
        <w:rPr>
          <w:rFonts w:cs="Arial"/>
          <w:lang w:eastAsia="en-GB"/>
        </w:rPr>
        <w:t>t</w:t>
      </w:r>
      <w:r w:rsidRPr="00C6342D">
        <w:rPr>
          <w:rFonts w:cs="Arial"/>
          <w:lang w:eastAsia="en-GB"/>
        </w:rPr>
        <w:t>hen 2% on profits above the upper limit.</w:t>
      </w:r>
      <w:r w:rsidRPr="00C6342D">
        <w:rPr>
          <w:rFonts w:cs="Arial"/>
          <w:lang w:eastAsia="en-GB"/>
        </w:rPr>
        <w:br/>
      </w:r>
    </w:p>
    <w:p w:rsidR="00041B7F" w:rsidRPr="00041B7F" w:rsidRDefault="00041B7F" w:rsidP="004B5E56">
      <w:pPr>
        <w:pStyle w:val="ListParagraph"/>
        <w:numPr>
          <w:ilvl w:val="0"/>
          <w:numId w:val="5"/>
        </w:numPr>
        <w:spacing w:after="200" w:line="276" w:lineRule="auto"/>
        <w:rPr>
          <w:rFonts w:cs="Arial"/>
        </w:rPr>
      </w:pPr>
      <w:r w:rsidRPr="00041B7F">
        <w:rPr>
          <w:rFonts w:cs="Arial"/>
        </w:rPr>
        <w:t>Percentages and limits are provided in the Taxation Tables.</w:t>
      </w:r>
    </w:p>
    <w:p w:rsidR="00041B7F" w:rsidRPr="00DD0413" w:rsidRDefault="00041B7F" w:rsidP="004B5E56">
      <w:pPr>
        <w:spacing w:line="276" w:lineRule="auto"/>
      </w:pPr>
    </w:p>
    <w:p w:rsidR="00041B7F" w:rsidRPr="00041B7F" w:rsidRDefault="00041B7F" w:rsidP="004B5E56">
      <w:pPr>
        <w:spacing w:line="276" w:lineRule="auto"/>
        <w:rPr>
          <w:rFonts w:cs="Arial"/>
        </w:rPr>
      </w:pPr>
    </w:p>
    <w:p w:rsidR="00041B7F" w:rsidRPr="008C2387" w:rsidRDefault="00041B7F" w:rsidP="004B5E56">
      <w:pPr>
        <w:spacing w:line="276" w:lineRule="auto"/>
        <w:rPr>
          <w:sz w:val="20"/>
          <w:szCs w:val="20"/>
        </w:rPr>
      </w:pPr>
    </w:p>
    <w:p w:rsidR="00041B7F" w:rsidRDefault="00041B7F" w:rsidP="004B5E56">
      <w:pPr>
        <w:spacing w:line="276" w:lineRule="auto"/>
        <w:rPr>
          <w:rFonts w:ascii="Arial" w:hAnsi="Arial" w:cs="Arial"/>
          <w:sz w:val="20"/>
          <w:szCs w:val="20"/>
        </w:rPr>
      </w:pPr>
      <w:r>
        <w:rPr>
          <w:rFonts w:ascii="Arial" w:hAnsi="Arial" w:cs="Arial"/>
          <w:sz w:val="20"/>
          <w:szCs w:val="20"/>
        </w:rPr>
        <w:br w:type="page"/>
      </w:r>
    </w:p>
    <w:p w:rsidR="00041B7F" w:rsidRPr="004B5E56" w:rsidRDefault="00041B7F" w:rsidP="004B5E56">
      <w:pPr>
        <w:spacing w:line="276" w:lineRule="auto"/>
        <w:rPr>
          <w:rFonts w:ascii="Arial" w:hAnsi="Arial" w:cs="Arial"/>
          <w:b/>
        </w:rPr>
      </w:pPr>
      <w:r w:rsidRPr="00D25FFE">
        <w:rPr>
          <w:rFonts w:ascii="Arial" w:hAnsi="Arial" w:cs="Arial"/>
          <w:b/>
        </w:rPr>
        <w:t>An outline of corporation tax</w:t>
      </w:r>
    </w:p>
    <w:p w:rsidR="00041B7F" w:rsidRPr="00A71D64" w:rsidRDefault="00041B7F" w:rsidP="004B5E56">
      <w:pPr>
        <w:spacing w:line="276" w:lineRule="auto"/>
        <w:rPr>
          <w:rFonts w:ascii="Arial" w:hAnsi="Arial" w:cs="Arial"/>
          <w:sz w:val="22"/>
          <w:szCs w:val="22"/>
        </w:rPr>
      </w:pPr>
    </w:p>
    <w:p w:rsidR="00041B7F" w:rsidRPr="00041B7F" w:rsidRDefault="00041B7F" w:rsidP="004B5E56">
      <w:pPr>
        <w:pStyle w:val="ListParagraph"/>
        <w:numPr>
          <w:ilvl w:val="0"/>
          <w:numId w:val="1"/>
        </w:numPr>
        <w:spacing w:after="200" w:line="276" w:lineRule="auto"/>
        <w:rPr>
          <w:rFonts w:cs="Arial"/>
        </w:rPr>
      </w:pPr>
      <w:r w:rsidRPr="00041B7F">
        <w:rPr>
          <w:rFonts w:cs="Arial"/>
        </w:rPr>
        <w:t>Companies pay corporation tax on their profits for each accounting period.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There is one rate of corporation tax set each financial year.</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Profits = </w:t>
      </w:r>
      <w:r w:rsidR="00B22F79" w:rsidRPr="00041B7F">
        <w:rPr>
          <w:rFonts w:cs="Arial"/>
        </w:rPr>
        <w:t xml:space="preserve">Income </w:t>
      </w:r>
      <w:r w:rsidRPr="00041B7F">
        <w:rPr>
          <w:rFonts w:cs="Arial"/>
        </w:rPr>
        <w:t xml:space="preserve">+ </w:t>
      </w:r>
      <w:r w:rsidR="00B22F79" w:rsidRPr="00041B7F">
        <w:rPr>
          <w:rFonts w:cs="Arial"/>
        </w:rPr>
        <w:t xml:space="preserve">Gains </w:t>
      </w:r>
      <w:r w:rsidR="00B22F79">
        <w:rPr>
          <w:rFonts w:cs="Arial"/>
        </w:rPr>
        <w:t>–</w:t>
      </w:r>
      <w:r w:rsidR="00B22F79" w:rsidRPr="00041B7F">
        <w:rPr>
          <w:rFonts w:cs="Arial"/>
        </w:rPr>
        <w:t xml:space="preserve"> Charges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Accounting periods are usually 12 months long but can be shorter.</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If a company’s accounts are longer than 12 months, the first 12 months will be one accounting period and the remainder a second accounting period.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All UK property income is pooled as a single source of income and taxed on an accruals basis.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Borrowing or lending money by a company is a loan relationship.</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Trading loan relationships are part of trading income.</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Non-trading loan relationships (NTL-R) are pooled to give NTL-R credits or deficits.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Gift Aid </w:t>
      </w:r>
      <w:r w:rsidR="00935F00" w:rsidRPr="00041B7F">
        <w:rPr>
          <w:rFonts w:cs="Arial"/>
        </w:rPr>
        <w:t xml:space="preserve">donations </w:t>
      </w:r>
      <w:r w:rsidRPr="00041B7F">
        <w:rPr>
          <w:rFonts w:cs="Arial"/>
        </w:rPr>
        <w:t>are charges on income.</w:t>
      </w:r>
    </w:p>
    <w:p w:rsidR="00041B7F" w:rsidRPr="00041B7F" w:rsidRDefault="00041B7F" w:rsidP="004B5E56">
      <w:pPr>
        <w:pStyle w:val="ListParagraph"/>
        <w:spacing w:line="276" w:lineRule="auto"/>
        <w:rPr>
          <w:rFonts w:cs="Arial"/>
        </w:rPr>
      </w:pPr>
    </w:p>
    <w:p w:rsidR="00041B7F" w:rsidRDefault="00041B7F" w:rsidP="004B5E56">
      <w:pPr>
        <w:numPr>
          <w:ilvl w:val="0"/>
          <w:numId w:val="1"/>
        </w:numPr>
        <w:spacing w:after="200" w:line="276" w:lineRule="auto"/>
        <w:rPr>
          <w:rFonts w:ascii="Arial" w:hAnsi="Arial" w:cs="Arial"/>
          <w:sz w:val="20"/>
          <w:szCs w:val="20"/>
          <w:lang w:eastAsia="en-GB"/>
        </w:rPr>
      </w:pPr>
      <w:r w:rsidRPr="00041B7F">
        <w:rPr>
          <w:rFonts w:ascii="Arial" w:hAnsi="Arial" w:cs="Arial"/>
          <w:sz w:val="20"/>
          <w:szCs w:val="20"/>
          <w:lang w:eastAsia="en-GB"/>
        </w:rPr>
        <w:t>Associated companies – a company is associated with another if one company controls the other or they are both controlled by the same ‘person’.</w:t>
      </w:r>
    </w:p>
    <w:p w:rsidR="00041B7F" w:rsidRDefault="00041B7F" w:rsidP="004B5E56">
      <w:pPr>
        <w:spacing w:line="276" w:lineRule="auto"/>
        <w:rPr>
          <w:rFonts w:ascii="Arial" w:hAnsi="Arial" w:cs="Arial"/>
          <w:sz w:val="20"/>
          <w:szCs w:val="20"/>
          <w:lang w:eastAsia="en-GB"/>
        </w:rPr>
      </w:pPr>
      <w:r>
        <w:rPr>
          <w:rFonts w:ascii="Arial" w:hAnsi="Arial" w:cs="Arial"/>
          <w:sz w:val="20"/>
          <w:szCs w:val="20"/>
          <w:lang w:eastAsia="en-GB"/>
        </w:rPr>
        <w:br w:type="page"/>
      </w:r>
    </w:p>
    <w:p w:rsidR="00041B7F" w:rsidRPr="00FD3D22" w:rsidRDefault="00041B7F" w:rsidP="004B5E56">
      <w:pPr>
        <w:spacing w:line="276" w:lineRule="auto"/>
        <w:rPr>
          <w:rFonts w:ascii="Arial" w:hAnsi="Arial" w:cs="Arial"/>
          <w:b/>
        </w:rPr>
      </w:pPr>
      <w:r w:rsidRPr="00FD3D22">
        <w:rPr>
          <w:rFonts w:ascii="Arial" w:hAnsi="Arial" w:cs="Arial"/>
          <w:b/>
        </w:rPr>
        <w:t>The calculation of total profits and corporation tax payable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709"/>
      </w:tblGrid>
      <w:tr w:rsidR="00041B7F" w:rsidTr="00041B7F">
        <w:trPr>
          <w:cnfStyle w:val="100000000000" w:firstRow="1" w:lastRow="0" w:firstColumn="0" w:lastColumn="0" w:oddVBand="0" w:evenVBand="0" w:oddHBand="0" w:evenHBand="0" w:firstRowFirstColumn="0" w:firstRowLastColumn="0" w:lastRowFirstColumn="0" w:lastRowLastColumn="0"/>
        </w:trPr>
        <w:tc>
          <w:tcPr>
            <w:tcW w:w="6771" w:type="dxa"/>
            <w:shd w:val="clear" w:color="auto" w:fill="auto"/>
            <w:vAlign w:val="center"/>
          </w:tcPr>
          <w:p w:rsidR="00041B7F" w:rsidRPr="00041B7F" w:rsidRDefault="00041B7F" w:rsidP="004B5E56">
            <w:pPr>
              <w:spacing w:line="276" w:lineRule="auto"/>
              <w:rPr>
                <w:rFonts w:ascii="Arial" w:hAnsi="Arial" w:cs="Arial"/>
                <w:sz w:val="20"/>
                <w:szCs w:val="20"/>
              </w:rPr>
            </w:pPr>
            <w:r w:rsidRPr="00A71D64">
              <w:rPr>
                <w:rFonts w:ascii="Arial" w:hAnsi="Arial" w:cs="Arial"/>
                <w:b/>
                <w:sz w:val="22"/>
                <w:szCs w:val="22"/>
              </w:rPr>
              <w:br/>
            </w:r>
            <w:r w:rsidRPr="00041B7F">
              <w:rPr>
                <w:rFonts w:ascii="Arial" w:hAnsi="Arial" w:cs="Arial"/>
                <w:bCs/>
                <w:sz w:val="20"/>
                <w:szCs w:val="20"/>
                <w:lang w:eastAsia="en-GB"/>
              </w:rPr>
              <w:t>ABC Ltd</w:t>
            </w:r>
          </w:p>
        </w:tc>
        <w:tc>
          <w:tcPr>
            <w:tcW w:w="709" w:type="dxa"/>
            <w:shd w:val="clear" w:color="auto" w:fill="auto"/>
            <w:vAlign w:val="center"/>
          </w:tcPr>
          <w:p w:rsidR="00041B7F" w:rsidRDefault="00041B7F" w:rsidP="004B5E56">
            <w:pPr>
              <w:spacing w:line="276" w:lineRule="auto"/>
              <w:rPr>
                <w:rFonts w:ascii="Arial" w:hAnsi="Arial" w:cs="Arial"/>
                <w:b/>
                <w:sz w:val="20"/>
                <w:szCs w:val="20"/>
              </w:rPr>
            </w:pPr>
          </w:p>
        </w:tc>
      </w:tr>
      <w:tr w:rsidR="00041B7F" w:rsidTr="00041B7F">
        <w:trPr>
          <w:trHeight w:val="611"/>
        </w:trPr>
        <w:tc>
          <w:tcPr>
            <w:tcW w:w="6771" w:type="dxa"/>
            <w:shd w:val="clear" w:color="auto" w:fill="auto"/>
            <w:vAlign w:val="center"/>
          </w:tcPr>
          <w:p w:rsidR="00041B7F" w:rsidRDefault="00041B7F" w:rsidP="004B5E56">
            <w:pPr>
              <w:spacing w:line="276" w:lineRule="auto"/>
              <w:rPr>
                <w:rFonts w:ascii="Arial" w:hAnsi="Arial" w:cs="Arial"/>
                <w:b/>
                <w:sz w:val="20"/>
                <w:szCs w:val="20"/>
              </w:rPr>
            </w:pPr>
            <w:r w:rsidRPr="00FD3D22">
              <w:rPr>
                <w:rFonts w:ascii="Arial" w:hAnsi="Arial" w:cs="Arial"/>
                <w:b/>
                <w:bCs/>
                <w:sz w:val="20"/>
                <w:szCs w:val="20"/>
                <w:lang w:eastAsia="en-GB"/>
              </w:rPr>
              <w:t xml:space="preserve">Corporation tax computation for the year/period ended </w:t>
            </w:r>
            <w:r>
              <w:rPr>
                <w:rFonts w:ascii="Arial" w:hAnsi="Arial" w:cs="Arial"/>
                <w:b/>
                <w:bCs/>
                <w:sz w:val="20"/>
                <w:szCs w:val="20"/>
                <w:lang w:eastAsia="en-GB"/>
              </w:rPr>
              <w:t>DD/MM/20XX</w:t>
            </w:r>
          </w:p>
        </w:tc>
        <w:tc>
          <w:tcPr>
            <w:tcW w:w="709" w:type="dxa"/>
            <w:shd w:val="clear" w:color="auto" w:fill="auto"/>
            <w:vAlign w:val="center"/>
          </w:tcPr>
          <w:p w:rsidR="00041B7F" w:rsidRDefault="00041B7F" w:rsidP="004B5E56">
            <w:pPr>
              <w:spacing w:line="276" w:lineRule="auto"/>
              <w:rPr>
                <w:rFonts w:ascii="Arial" w:hAnsi="Arial" w:cs="Arial"/>
                <w:b/>
                <w:sz w:val="20"/>
                <w:szCs w:val="20"/>
              </w:rPr>
            </w:pP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p>
        </w:tc>
        <w:tc>
          <w:tcPr>
            <w:tcW w:w="709" w:type="dxa"/>
            <w:shd w:val="clear" w:color="auto" w:fill="auto"/>
            <w:vAlign w:val="center"/>
          </w:tcPr>
          <w:p w:rsidR="00041B7F" w:rsidRPr="009D3B51" w:rsidRDefault="00041B7F" w:rsidP="004B5E56">
            <w:pPr>
              <w:spacing w:line="276" w:lineRule="auto"/>
              <w:jc w:val="center"/>
              <w:rPr>
                <w:rFonts w:ascii="Arial" w:hAnsi="Arial" w:cs="Arial"/>
                <w:b/>
                <w:sz w:val="20"/>
                <w:szCs w:val="20"/>
                <w:lang w:eastAsia="en-GB"/>
              </w:rPr>
            </w:pPr>
            <w:r w:rsidRPr="009D3B51">
              <w:rPr>
                <w:rFonts w:ascii="Arial" w:hAnsi="Arial" w:cs="Arial"/>
                <w:b/>
                <w:sz w:val="20"/>
                <w:szCs w:val="20"/>
                <w:lang w:eastAsia="en-GB"/>
              </w:rPr>
              <w:t>£</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Trading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accruals basis</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Interest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xml:space="preserve">– accrual basis </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Property </w:t>
            </w:r>
            <w:r w:rsidR="00DB0E1B" w:rsidRPr="00FD3D22">
              <w:rPr>
                <w:rFonts w:ascii="Arial" w:hAnsi="Arial" w:cs="Arial"/>
                <w:sz w:val="20"/>
                <w:szCs w:val="20"/>
                <w:lang w:eastAsia="en-GB"/>
              </w:rPr>
              <w:t xml:space="preserve">income </w:t>
            </w:r>
            <w:r w:rsidRPr="00FD3D22">
              <w:rPr>
                <w:rFonts w:ascii="Arial" w:hAnsi="Arial" w:cs="Arial"/>
                <w:sz w:val="20"/>
                <w:szCs w:val="20"/>
                <w:lang w:eastAsia="en-GB"/>
              </w:rPr>
              <w:t>– accruals basis</w:t>
            </w:r>
          </w:p>
        </w:tc>
        <w:tc>
          <w:tcPr>
            <w:tcW w:w="709" w:type="dxa"/>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Chargeable gains</w:t>
            </w:r>
          </w:p>
        </w:tc>
        <w:tc>
          <w:tcPr>
            <w:tcW w:w="709" w:type="dxa"/>
            <w:tcBorders>
              <w:bottom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  </w:t>
            </w:r>
          </w:p>
        </w:tc>
        <w:tc>
          <w:tcPr>
            <w:tcW w:w="709" w:type="dxa"/>
            <w:tcBorders>
              <w:top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Less charges on income – Gift Aid donations</w:t>
            </w:r>
          </w:p>
        </w:tc>
        <w:tc>
          <w:tcPr>
            <w:tcW w:w="709" w:type="dxa"/>
            <w:tcBorders>
              <w:bottom w:val="sing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E513C9">
              <w:rPr>
                <w:rFonts w:ascii="Arial" w:hAnsi="Arial" w:cs="Arial"/>
                <w:sz w:val="20"/>
                <w:szCs w:val="20"/>
                <w:lang w:eastAsia="en-GB"/>
              </w:rPr>
              <w:t>(X)</w:t>
            </w:r>
            <w:r w:rsidRPr="00FD3D22">
              <w:rPr>
                <w:rFonts w:ascii="Arial" w:hAnsi="Arial" w:cs="Arial"/>
                <w:sz w:val="20"/>
                <w:szCs w:val="20"/>
                <w:lang w:eastAsia="en-GB"/>
              </w:rPr>
              <w:t xml:space="preserve"> </w:t>
            </w: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p>
        </w:tc>
        <w:tc>
          <w:tcPr>
            <w:tcW w:w="709" w:type="dxa"/>
            <w:tcBorders>
              <w:top w:val="single" w:sz="4" w:space="0" w:color="auto"/>
              <w:bottom w:val="single" w:sz="4" w:space="0" w:color="auto"/>
            </w:tcBorders>
            <w:shd w:val="clear" w:color="auto" w:fill="auto"/>
            <w:vAlign w:val="center"/>
          </w:tcPr>
          <w:p w:rsidR="00041B7F" w:rsidRPr="00E513C9" w:rsidRDefault="00041B7F" w:rsidP="004B5E56">
            <w:pPr>
              <w:spacing w:line="276" w:lineRule="auto"/>
              <w:jc w:val="center"/>
              <w:rPr>
                <w:rFonts w:ascii="Arial" w:hAnsi="Arial" w:cs="Arial"/>
                <w:sz w:val="20"/>
                <w:szCs w:val="20"/>
                <w:lang w:eastAsia="en-GB"/>
              </w:rPr>
            </w:pPr>
          </w:p>
        </w:tc>
      </w:tr>
      <w:tr w:rsidR="00041B7F" w:rsidTr="00041B7F">
        <w:trPr>
          <w:trHeight w:hRule="exact" w:val="340"/>
        </w:trPr>
        <w:tc>
          <w:tcPr>
            <w:tcW w:w="6771" w:type="dxa"/>
            <w:shd w:val="clear" w:color="auto" w:fill="auto"/>
            <w:vAlign w:val="center"/>
          </w:tcPr>
          <w:p w:rsidR="00041B7F" w:rsidRPr="00FD3D22" w:rsidRDefault="00041B7F" w:rsidP="004B5E56">
            <w:pPr>
              <w:spacing w:line="276" w:lineRule="auto"/>
              <w:rPr>
                <w:rFonts w:ascii="Arial" w:hAnsi="Arial" w:cs="Arial"/>
                <w:sz w:val="20"/>
                <w:szCs w:val="20"/>
                <w:lang w:eastAsia="en-GB"/>
              </w:rPr>
            </w:pPr>
            <w:r w:rsidRPr="00FD3D22">
              <w:rPr>
                <w:rFonts w:ascii="Arial" w:hAnsi="Arial" w:cs="Arial"/>
                <w:sz w:val="20"/>
                <w:szCs w:val="20"/>
                <w:lang w:eastAsia="en-GB"/>
              </w:rPr>
              <w:t xml:space="preserve">Total </w:t>
            </w:r>
            <w:r w:rsidR="00DB0E1B" w:rsidRPr="00FD3D22">
              <w:rPr>
                <w:rFonts w:ascii="Arial" w:hAnsi="Arial" w:cs="Arial"/>
                <w:sz w:val="20"/>
                <w:szCs w:val="20"/>
                <w:lang w:eastAsia="en-GB"/>
              </w:rPr>
              <w:t xml:space="preserve">profits </w:t>
            </w:r>
          </w:p>
        </w:tc>
        <w:tc>
          <w:tcPr>
            <w:tcW w:w="709" w:type="dxa"/>
            <w:tcBorders>
              <w:top w:val="single" w:sz="4" w:space="0" w:color="auto"/>
              <w:bottom w:val="doub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 xml:space="preserve">X </w:t>
            </w:r>
          </w:p>
        </w:tc>
      </w:tr>
      <w:tr w:rsidR="00041B7F" w:rsidTr="00041B7F">
        <w:trPr>
          <w:trHeight w:hRule="exact" w:val="340"/>
        </w:trPr>
        <w:tc>
          <w:tcPr>
            <w:tcW w:w="6771" w:type="dxa"/>
            <w:shd w:val="clear" w:color="auto" w:fill="auto"/>
            <w:vAlign w:val="center"/>
          </w:tcPr>
          <w:p w:rsidR="00041B7F" w:rsidRPr="00FD3D22" w:rsidRDefault="00041B7F" w:rsidP="00217F6B">
            <w:pPr>
              <w:spacing w:line="276" w:lineRule="auto"/>
              <w:rPr>
                <w:rFonts w:ascii="Arial" w:hAnsi="Arial" w:cs="Arial"/>
                <w:sz w:val="20"/>
                <w:szCs w:val="20"/>
                <w:lang w:eastAsia="en-GB"/>
              </w:rPr>
            </w:pPr>
            <w:r w:rsidRPr="00FD3D22">
              <w:rPr>
                <w:rFonts w:ascii="Arial" w:hAnsi="Arial" w:cs="Arial"/>
                <w:sz w:val="20"/>
                <w:szCs w:val="20"/>
              </w:rPr>
              <w:t xml:space="preserve">Corporation tax payable – Total profits </w:t>
            </w:r>
            <w:r w:rsidR="00217F6B">
              <w:rPr>
                <w:rFonts w:ascii="Arial" w:hAnsi="Arial" w:cs="Arial"/>
                <w:sz w:val="20"/>
                <w:szCs w:val="20"/>
              </w:rPr>
              <w:t>×</w:t>
            </w:r>
            <w:r w:rsidR="00217F6B" w:rsidRPr="00FD3D22">
              <w:rPr>
                <w:rFonts w:ascii="Arial" w:hAnsi="Arial" w:cs="Arial"/>
                <w:sz w:val="20"/>
                <w:szCs w:val="20"/>
              </w:rPr>
              <w:t xml:space="preserve"> </w:t>
            </w:r>
            <w:r w:rsidRPr="00FD3D22">
              <w:rPr>
                <w:rFonts w:ascii="Arial" w:hAnsi="Arial" w:cs="Arial"/>
                <w:sz w:val="20"/>
                <w:szCs w:val="20"/>
              </w:rPr>
              <w:t>Corporation tax rate</w:t>
            </w:r>
          </w:p>
        </w:tc>
        <w:tc>
          <w:tcPr>
            <w:tcW w:w="709" w:type="dxa"/>
            <w:tcBorders>
              <w:top w:val="double" w:sz="4" w:space="0" w:color="auto"/>
              <w:bottom w:val="double" w:sz="4" w:space="0" w:color="auto"/>
            </w:tcBorders>
            <w:shd w:val="clear" w:color="auto" w:fill="auto"/>
            <w:vAlign w:val="center"/>
          </w:tcPr>
          <w:p w:rsidR="00041B7F" w:rsidRPr="00FD3D22" w:rsidRDefault="00041B7F" w:rsidP="004B5E56">
            <w:pPr>
              <w:spacing w:line="276" w:lineRule="auto"/>
              <w:jc w:val="center"/>
              <w:rPr>
                <w:rFonts w:ascii="Arial" w:hAnsi="Arial" w:cs="Arial"/>
                <w:sz w:val="20"/>
                <w:szCs w:val="20"/>
                <w:lang w:eastAsia="en-GB"/>
              </w:rPr>
            </w:pPr>
            <w:r w:rsidRPr="00FD3D22">
              <w:rPr>
                <w:rFonts w:ascii="Arial" w:hAnsi="Arial" w:cs="Arial"/>
                <w:sz w:val="20"/>
                <w:szCs w:val="20"/>
                <w:lang w:eastAsia="en-GB"/>
              </w:rPr>
              <w:t>X</w:t>
            </w:r>
          </w:p>
        </w:tc>
      </w:tr>
    </w:tbl>
    <w:p w:rsidR="00041B7F" w:rsidRDefault="00041B7F" w:rsidP="004B5E56">
      <w:pPr>
        <w:spacing w:line="276" w:lineRule="auto"/>
        <w:rPr>
          <w:rFonts w:ascii="Arial" w:hAnsi="Arial" w:cs="Arial"/>
          <w:b/>
          <w:sz w:val="20"/>
          <w:szCs w:val="20"/>
        </w:rPr>
      </w:pPr>
    </w:p>
    <w:p w:rsidR="00041B7F" w:rsidRPr="00FD3D22" w:rsidRDefault="00041B7F" w:rsidP="004B5E56">
      <w:pPr>
        <w:spacing w:line="276" w:lineRule="auto"/>
        <w:rPr>
          <w:rFonts w:ascii="Arial" w:hAnsi="Arial" w:cs="Arial"/>
          <w:b/>
          <w:sz w:val="20"/>
          <w:szCs w:val="20"/>
        </w:rPr>
      </w:pPr>
    </w:p>
    <w:p w:rsidR="00041B7F" w:rsidRPr="00FD3D22" w:rsidRDefault="00041B7F" w:rsidP="004B5E56">
      <w:pPr>
        <w:spacing w:line="276" w:lineRule="auto"/>
        <w:rPr>
          <w:rFonts w:ascii="Arial" w:hAnsi="Arial" w:cs="Arial"/>
          <w:b/>
          <w:sz w:val="20"/>
          <w:szCs w:val="20"/>
        </w:rPr>
      </w:pPr>
      <w:r w:rsidRPr="00FD3D22">
        <w:rPr>
          <w:rFonts w:ascii="Arial" w:hAnsi="Arial" w:cs="Arial"/>
          <w:b/>
          <w:sz w:val="20"/>
          <w:szCs w:val="20"/>
        </w:rPr>
        <w:t>Key points</w:t>
      </w:r>
    </w:p>
    <w:p w:rsidR="00041B7F" w:rsidRPr="00FD3D22" w:rsidRDefault="00041B7F" w:rsidP="004B5E56">
      <w:pPr>
        <w:spacing w:line="276" w:lineRule="auto"/>
        <w:rPr>
          <w:rFonts w:ascii="Arial" w:hAnsi="Arial" w:cs="Arial"/>
          <w:b/>
          <w:sz w:val="20"/>
          <w:szCs w:val="20"/>
        </w:rPr>
      </w:pPr>
    </w:p>
    <w:p w:rsidR="00041B7F" w:rsidRPr="00041B7F" w:rsidRDefault="00041B7F" w:rsidP="004B5E56">
      <w:pPr>
        <w:pStyle w:val="ListParagraph"/>
        <w:numPr>
          <w:ilvl w:val="0"/>
          <w:numId w:val="1"/>
        </w:numPr>
        <w:spacing w:after="200" w:line="276" w:lineRule="auto"/>
        <w:rPr>
          <w:rFonts w:cs="Arial"/>
        </w:rPr>
      </w:pPr>
      <w:r w:rsidRPr="00041B7F">
        <w:rPr>
          <w:rFonts w:cs="Arial"/>
        </w:rPr>
        <w:t>Trading income is adjusted from net profit per company accounts less capital allowances.</w:t>
      </w:r>
    </w:p>
    <w:p w:rsidR="00041B7F" w:rsidRPr="00041B7F" w:rsidRDefault="00041B7F" w:rsidP="004B5E56">
      <w:pPr>
        <w:pStyle w:val="ListParagraph"/>
        <w:numPr>
          <w:ilvl w:val="0"/>
          <w:numId w:val="1"/>
        </w:numPr>
        <w:spacing w:after="200" w:line="276" w:lineRule="auto"/>
        <w:rPr>
          <w:rFonts w:cs="Arial"/>
        </w:rPr>
      </w:pPr>
      <w:r w:rsidRPr="00041B7F">
        <w:rPr>
          <w:rFonts w:cs="Arial"/>
        </w:rPr>
        <w:t>All income in computation to be gross.</w:t>
      </w:r>
    </w:p>
    <w:p w:rsidR="00041B7F" w:rsidRPr="00041B7F" w:rsidRDefault="00041B7F" w:rsidP="004B5E56">
      <w:pPr>
        <w:pStyle w:val="ListParagraph"/>
        <w:numPr>
          <w:ilvl w:val="0"/>
          <w:numId w:val="1"/>
        </w:numPr>
        <w:spacing w:after="200" w:line="276" w:lineRule="auto"/>
        <w:rPr>
          <w:rFonts w:cs="Arial"/>
        </w:rPr>
      </w:pPr>
      <w:r w:rsidRPr="00041B7F">
        <w:rPr>
          <w:rFonts w:cs="Arial"/>
        </w:rPr>
        <w:t>Some income may need to be grossed up. Companies receive interest gross.</w:t>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Virtually all interest receivable is taxed as </w:t>
      </w:r>
      <w:r w:rsidR="00366D3F" w:rsidRPr="00041B7F">
        <w:rPr>
          <w:rFonts w:cs="Arial"/>
        </w:rPr>
        <w:t>interest income</w:t>
      </w:r>
      <w:r w:rsidRPr="00041B7F">
        <w:rPr>
          <w:rFonts w:cs="Arial"/>
        </w:rPr>
        <w:t>.</w:t>
      </w:r>
    </w:p>
    <w:p w:rsidR="00041B7F" w:rsidRPr="00041B7F" w:rsidRDefault="00041B7F" w:rsidP="004B5E56">
      <w:pPr>
        <w:pStyle w:val="ListParagraph"/>
        <w:numPr>
          <w:ilvl w:val="0"/>
          <w:numId w:val="1"/>
        </w:numPr>
        <w:spacing w:after="200" w:line="276" w:lineRule="auto"/>
        <w:rPr>
          <w:rFonts w:cs="Arial"/>
        </w:rPr>
      </w:pPr>
      <w:r w:rsidRPr="00041B7F">
        <w:rPr>
          <w:rFonts w:cs="Arial"/>
        </w:rPr>
        <w:t>Dividends payable by a company are not an allowable expense.</w:t>
      </w:r>
    </w:p>
    <w:p w:rsidR="00041B7F" w:rsidRPr="00041B7F" w:rsidRDefault="00041B7F" w:rsidP="004B5E56">
      <w:pPr>
        <w:pStyle w:val="ListParagraph"/>
        <w:numPr>
          <w:ilvl w:val="0"/>
          <w:numId w:val="1"/>
        </w:numPr>
        <w:spacing w:after="200" w:line="276" w:lineRule="auto"/>
        <w:rPr>
          <w:rFonts w:cs="Arial"/>
        </w:rPr>
      </w:pPr>
      <w:r w:rsidRPr="00041B7F">
        <w:rPr>
          <w:rFonts w:cs="Arial"/>
        </w:rPr>
        <w:t>UK dividends receivable by a company are not taxable.</w:t>
      </w:r>
    </w:p>
    <w:p w:rsidR="00041B7F" w:rsidRPr="00041B7F" w:rsidRDefault="00041B7F" w:rsidP="004B5E56">
      <w:pPr>
        <w:pStyle w:val="ListParagraph"/>
        <w:numPr>
          <w:ilvl w:val="0"/>
          <w:numId w:val="1"/>
        </w:numPr>
        <w:spacing w:after="200" w:line="276" w:lineRule="auto"/>
        <w:rPr>
          <w:rFonts w:cs="Arial"/>
        </w:rPr>
      </w:pPr>
      <w:r w:rsidRPr="00041B7F">
        <w:rPr>
          <w:rFonts w:cs="Arial"/>
        </w:rPr>
        <w:t>Net-off current year capital losses against current year capital gains. If there is a net capital loss carry it forward.</w:t>
      </w:r>
    </w:p>
    <w:p w:rsidR="00041B7F" w:rsidRPr="00041B7F" w:rsidRDefault="00041B7F" w:rsidP="004B5E56">
      <w:pPr>
        <w:pStyle w:val="ListParagraph"/>
        <w:numPr>
          <w:ilvl w:val="0"/>
          <w:numId w:val="1"/>
        </w:numPr>
        <w:spacing w:after="200" w:line="276" w:lineRule="auto"/>
        <w:rPr>
          <w:rFonts w:cs="Arial"/>
        </w:rPr>
      </w:pPr>
      <w:r w:rsidRPr="00041B7F">
        <w:rPr>
          <w:rFonts w:cs="Arial"/>
        </w:rPr>
        <w:t xml:space="preserve">See </w:t>
      </w:r>
      <w:r w:rsidR="00F96074" w:rsidRPr="00041B7F">
        <w:rPr>
          <w:rFonts w:cs="Arial"/>
        </w:rPr>
        <w:t xml:space="preserve">taxation </w:t>
      </w:r>
      <w:r w:rsidRPr="00041B7F">
        <w:rPr>
          <w:rFonts w:cs="Arial"/>
        </w:rPr>
        <w:t>tables for corporation tax rates.</w:t>
      </w:r>
    </w:p>
    <w:p w:rsidR="00041B7F" w:rsidRPr="00FD3D22" w:rsidRDefault="00041B7F" w:rsidP="004B5E56">
      <w:pPr>
        <w:pStyle w:val="ListParagraph"/>
        <w:spacing w:line="276" w:lineRule="auto"/>
        <w:rPr>
          <w:rFonts w:cs="Arial"/>
        </w:rPr>
      </w:pPr>
    </w:p>
    <w:p w:rsidR="00041B7F" w:rsidRPr="00FD3D22" w:rsidRDefault="00041B7F" w:rsidP="004B5E56">
      <w:pPr>
        <w:spacing w:line="276" w:lineRule="auto"/>
        <w:rPr>
          <w:rFonts w:ascii="Arial" w:hAnsi="Arial" w:cs="Arial"/>
          <w:b/>
          <w:sz w:val="20"/>
          <w:szCs w:val="20"/>
          <w:lang w:eastAsia="en-GB"/>
        </w:rPr>
      </w:pPr>
      <w:r w:rsidRPr="00FD3D22">
        <w:rPr>
          <w:rFonts w:ascii="Arial" w:hAnsi="Arial" w:cs="Arial"/>
          <w:b/>
          <w:sz w:val="20"/>
          <w:szCs w:val="20"/>
          <w:lang w:eastAsia="en-GB"/>
        </w:rPr>
        <w:t>Non 31 March year-ends</w:t>
      </w:r>
    </w:p>
    <w:p w:rsidR="00041B7F" w:rsidRPr="00041B7F" w:rsidRDefault="00041B7F" w:rsidP="004B5E56">
      <w:pPr>
        <w:pStyle w:val="ListParagraph"/>
        <w:numPr>
          <w:ilvl w:val="0"/>
          <w:numId w:val="1"/>
        </w:numPr>
        <w:spacing w:after="200" w:line="276" w:lineRule="auto"/>
        <w:rPr>
          <w:rFonts w:cs="Arial"/>
          <w:lang w:eastAsia="en-GB"/>
        </w:rPr>
      </w:pPr>
      <w:r w:rsidRPr="00FD3D22">
        <w:rPr>
          <w:rFonts w:cs="Arial"/>
          <w:lang w:eastAsia="en-GB"/>
        </w:rPr>
        <w:t xml:space="preserve">For example – year ended 31 December 2016. 3 months of period falls in financial year 2015 (FY15) </w:t>
      </w:r>
      <w:r w:rsidRPr="00041B7F">
        <w:rPr>
          <w:rFonts w:cs="Arial"/>
          <w:lang w:eastAsia="en-GB"/>
        </w:rPr>
        <w:t>and 9 months in FY16.</w:t>
      </w:r>
    </w:p>
    <w:p w:rsidR="00041B7F" w:rsidRPr="00FD3D22" w:rsidRDefault="00041B7F" w:rsidP="004B5E56">
      <w:pPr>
        <w:pStyle w:val="ListParagraph"/>
        <w:numPr>
          <w:ilvl w:val="0"/>
          <w:numId w:val="1"/>
        </w:numPr>
        <w:spacing w:after="200" w:line="276" w:lineRule="auto"/>
        <w:rPr>
          <w:rFonts w:cs="Arial"/>
          <w:lang w:eastAsia="en-GB"/>
        </w:rPr>
      </w:pPr>
      <w:r w:rsidRPr="00041B7F">
        <w:rPr>
          <w:rFonts w:cs="Arial"/>
          <w:lang w:eastAsia="en-GB"/>
        </w:rPr>
        <w:t>Apportion Total Profits to FY. Apply correct</w:t>
      </w:r>
      <w:r w:rsidRPr="00FD3D22">
        <w:rPr>
          <w:rFonts w:cs="Arial"/>
          <w:lang w:eastAsia="en-GB"/>
        </w:rPr>
        <w:t xml:space="preserve"> tax rate for FY. </w:t>
      </w:r>
    </w:p>
    <w:p w:rsidR="00041B7F" w:rsidRPr="00FD3D22" w:rsidRDefault="00041B7F" w:rsidP="004B5E56">
      <w:pPr>
        <w:spacing w:line="276" w:lineRule="auto"/>
        <w:rPr>
          <w:rFonts w:ascii="Arial" w:hAnsi="Arial" w:cs="Arial"/>
          <w:sz w:val="20"/>
          <w:szCs w:val="20"/>
          <w:lang w:eastAsia="en-GB"/>
        </w:rPr>
      </w:pPr>
    </w:p>
    <w:p w:rsidR="00041B7F" w:rsidRPr="00FD3D22" w:rsidRDefault="00041B7F" w:rsidP="004B5E56">
      <w:pPr>
        <w:spacing w:line="276" w:lineRule="auto"/>
        <w:rPr>
          <w:rFonts w:ascii="Arial" w:hAnsi="Arial" w:cs="Arial"/>
          <w:b/>
          <w:sz w:val="20"/>
          <w:szCs w:val="20"/>
          <w:lang w:eastAsia="en-GB"/>
        </w:rPr>
      </w:pPr>
      <w:r w:rsidRPr="00FD3D22">
        <w:rPr>
          <w:rFonts w:ascii="Arial" w:hAnsi="Arial" w:cs="Arial"/>
          <w:b/>
          <w:sz w:val="20"/>
          <w:szCs w:val="20"/>
          <w:lang w:eastAsia="en-GB"/>
        </w:rPr>
        <w:t>Long periods of account</w:t>
      </w:r>
    </w:p>
    <w:p w:rsidR="00041B7F" w:rsidRPr="00041B7F" w:rsidRDefault="00041B7F" w:rsidP="004B5E56">
      <w:pPr>
        <w:pStyle w:val="ListParagraph"/>
        <w:numPr>
          <w:ilvl w:val="0"/>
          <w:numId w:val="1"/>
        </w:numPr>
        <w:spacing w:after="200" w:line="276" w:lineRule="auto"/>
        <w:rPr>
          <w:rFonts w:cs="Arial"/>
          <w:lang w:eastAsia="en-GB"/>
        </w:rPr>
      </w:pPr>
      <w:r w:rsidRPr="00041B7F">
        <w:rPr>
          <w:rFonts w:cs="Arial"/>
          <w:lang w:eastAsia="en-GB"/>
        </w:rPr>
        <w:t xml:space="preserve">Will consist of two accounting periods = first 12 months </w:t>
      </w:r>
      <w:r w:rsidR="00854AFE">
        <w:rPr>
          <w:rFonts w:cs="Arial"/>
          <w:lang w:eastAsia="en-GB"/>
        </w:rPr>
        <w:t>and</w:t>
      </w:r>
      <w:r w:rsidR="00854AFE" w:rsidRPr="00041B7F">
        <w:rPr>
          <w:rFonts w:cs="Arial"/>
          <w:lang w:eastAsia="en-GB"/>
        </w:rPr>
        <w:t xml:space="preserve"> </w:t>
      </w:r>
      <w:r w:rsidRPr="00041B7F">
        <w:rPr>
          <w:rFonts w:cs="Arial"/>
          <w:lang w:eastAsia="en-GB"/>
        </w:rPr>
        <w:t>remainder of period.</w:t>
      </w:r>
    </w:p>
    <w:p w:rsidR="00041B7F" w:rsidRPr="00041B7F" w:rsidRDefault="00041B7F" w:rsidP="004B5E56">
      <w:pPr>
        <w:pStyle w:val="ListParagraph"/>
        <w:numPr>
          <w:ilvl w:val="0"/>
          <w:numId w:val="1"/>
        </w:numPr>
        <w:spacing w:after="200" w:line="276" w:lineRule="auto"/>
        <w:rPr>
          <w:rFonts w:cs="Arial"/>
          <w:lang w:eastAsia="en-GB"/>
        </w:rPr>
      </w:pPr>
      <w:r w:rsidRPr="00041B7F">
        <w:rPr>
          <w:rFonts w:cs="Arial"/>
          <w:lang w:eastAsia="en-GB"/>
        </w:rPr>
        <w:t xml:space="preserve"> Split profits as follows:</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Adjusted trading profit and property income – time apportion.</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Capital allowances – separate computations for each CAP.</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Interest income – accruals basis.</w:t>
      </w:r>
    </w:p>
    <w:p w:rsidR="00041B7F" w:rsidRPr="00041B7F" w:rsidRDefault="00041B7F" w:rsidP="00424F63">
      <w:pPr>
        <w:pStyle w:val="ListParagraph"/>
        <w:numPr>
          <w:ilvl w:val="1"/>
          <w:numId w:val="1"/>
        </w:numPr>
        <w:spacing w:after="200" w:line="276" w:lineRule="auto"/>
        <w:ind w:left="1134"/>
        <w:rPr>
          <w:rFonts w:cs="Arial"/>
          <w:lang w:eastAsia="en-GB"/>
        </w:rPr>
      </w:pPr>
      <w:r w:rsidRPr="00041B7F">
        <w:rPr>
          <w:rFonts w:cs="Arial"/>
          <w:lang w:eastAsia="en-GB"/>
        </w:rPr>
        <w:t>Chargeable gains – according to date of disposal.</w:t>
      </w:r>
    </w:p>
    <w:p w:rsidR="00041B7F" w:rsidRPr="00041B7F" w:rsidRDefault="00041B7F" w:rsidP="00424F63">
      <w:pPr>
        <w:pStyle w:val="ListParagraph"/>
        <w:numPr>
          <w:ilvl w:val="1"/>
          <w:numId w:val="1"/>
        </w:numPr>
        <w:spacing w:after="200" w:line="276" w:lineRule="auto"/>
        <w:ind w:left="1134"/>
        <w:rPr>
          <w:rFonts w:cs="Arial"/>
        </w:rPr>
      </w:pPr>
      <w:r w:rsidRPr="00041B7F">
        <w:rPr>
          <w:rFonts w:cs="Arial"/>
          <w:lang w:eastAsia="en-GB"/>
        </w:rPr>
        <w:t>Charges on income – according to date paid.</w:t>
      </w:r>
    </w:p>
    <w:p w:rsidR="00041B7F" w:rsidRPr="00DD0413" w:rsidRDefault="00041B7F" w:rsidP="004B5E56">
      <w:pPr>
        <w:spacing w:line="276" w:lineRule="auto"/>
      </w:pPr>
    </w:p>
    <w:p w:rsidR="00041B7F" w:rsidRDefault="00041B7F" w:rsidP="004B5E56">
      <w:pPr>
        <w:spacing w:line="276" w:lineRule="auto"/>
        <w:rPr>
          <w:rFonts w:ascii="Arial" w:hAnsi="Arial" w:cs="Arial"/>
          <w:sz w:val="20"/>
          <w:szCs w:val="20"/>
          <w:lang w:eastAsia="en-GB"/>
        </w:rPr>
      </w:pPr>
      <w:r>
        <w:rPr>
          <w:rFonts w:ascii="Arial" w:hAnsi="Arial" w:cs="Arial"/>
          <w:sz w:val="20"/>
          <w:szCs w:val="20"/>
          <w:lang w:eastAsia="en-GB"/>
        </w:rPr>
        <w:br w:type="page"/>
      </w:r>
    </w:p>
    <w:p w:rsidR="00041B7F" w:rsidRPr="00830A14" w:rsidRDefault="00041B7F" w:rsidP="004B5E56">
      <w:pPr>
        <w:spacing w:line="276" w:lineRule="auto"/>
        <w:rPr>
          <w:rFonts w:ascii="Arial" w:hAnsi="Arial" w:cs="Arial"/>
          <w:b/>
        </w:rPr>
      </w:pPr>
      <w:r>
        <w:rPr>
          <w:rFonts w:ascii="Arial" w:hAnsi="Arial" w:cs="Arial"/>
          <w:b/>
        </w:rPr>
        <w:t>Corporation tax –</w:t>
      </w:r>
      <w:r w:rsidRPr="00830A14">
        <w:rPr>
          <w:rFonts w:ascii="Arial" w:hAnsi="Arial" w:cs="Arial"/>
          <w:b/>
        </w:rPr>
        <w:t xml:space="preserve"> losses</w:t>
      </w:r>
    </w:p>
    <w:p w:rsidR="00041B7F" w:rsidRPr="00A71D64" w:rsidRDefault="00041B7F" w:rsidP="004B5E56">
      <w:pPr>
        <w:pStyle w:val="ListParagraph"/>
        <w:spacing w:line="276" w:lineRule="auto"/>
        <w:rPr>
          <w:rFonts w:cs="Arial"/>
          <w:sz w:val="22"/>
          <w:szCs w:val="22"/>
        </w:rPr>
      </w:pPr>
    </w:p>
    <w:p w:rsidR="00041B7F" w:rsidRPr="00041B7F" w:rsidRDefault="00041B7F" w:rsidP="004B5E56">
      <w:pPr>
        <w:pStyle w:val="ListParagraph"/>
        <w:numPr>
          <w:ilvl w:val="0"/>
          <w:numId w:val="5"/>
        </w:numPr>
        <w:spacing w:after="200" w:line="276" w:lineRule="auto"/>
        <w:rPr>
          <w:rFonts w:cs="Arial"/>
        </w:rPr>
      </w:pPr>
      <w:r w:rsidRPr="00041B7F">
        <w:rPr>
          <w:rFonts w:cs="Arial"/>
        </w:rPr>
        <w:t>Can elect to set trading losses against current accounting period total profits. Gift aid donations (charges) will remain unrelieved.</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5"/>
        </w:numPr>
        <w:spacing w:after="200" w:line="276" w:lineRule="auto"/>
        <w:rPr>
          <w:rFonts w:cs="Arial"/>
        </w:rPr>
      </w:pPr>
      <w:r w:rsidRPr="00041B7F">
        <w:rPr>
          <w:rFonts w:cs="Arial"/>
        </w:rPr>
        <w:t>If the above election is made, can also carry back trading loss to set against total profits within the previous 12 months.</w:t>
      </w:r>
      <w:r w:rsidRPr="00041B7F">
        <w:rPr>
          <w:rFonts w:cs="Arial"/>
        </w:rPr>
        <w:br/>
      </w:r>
    </w:p>
    <w:p w:rsidR="00041B7F" w:rsidRPr="00041B7F" w:rsidRDefault="00041B7F" w:rsidP="004B5E56">
      <w:pPr>
        <w:pStyle w:val="ListParagraph"/>
        <w:numPr>
          <w:ilvl w:val="0"/>
          <w:numId w:val="5"/>
        </w:numPr>
        <w:spacing w:after="200" w:line="276" w:lineRule="auto"/>
        <w:rPr>
          <w:rFonts w:cs="Arial"/>
        </w:rPr>
      </w:pPr>
      <w:r w:rsidRPr="00041B7F">
        <w:rPr>
          <w:rFonts w:cs="Arial"/>
        </w:rPr>
        <w:t>Trading losses are automatically carried forward to set against the first available profits of the same trade if not utilised by the above two claims.</w:t>
      </w:r>
    </w:p>
    <w:p w:rsidR="00041B7F" w:rsidRPr="00041B7F" w:rsidRDefault="00041B7F" w:rsidP="004B5E56">
      <w:pPr>
        <w:pStyle w:val="ListParagraph"/>
        <w:spacing w:line="276" w:lineRule="auto"/>
        <w:rPr>
          <w:rFonts w:cs="Arial"/>
        </w:rPr>
      </w:pPr>
    </w:p>
    <w:p w:rsidR="00041B7F" w:rsidRPr="00041B7F" w:rsidRDefault="00041B7F" w:rsidP="004B5E56">
      <w:pPr>
        <w:pStyle w:val="ListParagraph"/>
        <w:numPr>
          <w:ilvl w:val="0"/>
          <w:numId w:val="5"/>
        </w:numPr>
        <w:spacing w:after="200" w:line="276" w:lineRule="auto"/>
        <w:rPr>
          <w:rFonts w:cs="Arial"/>
        </w:rPr>
      </w:pPr>
      <w:r w:rsidRPr="00041B7F">
        <w:rPr>
          <w:rFonts w:cs="Arial"/>
        </w:rPr>
        <w:t>If there is a choice of loss relief, firstly consider the rate of loss relief then the timing of relief.</w:t>
      </w:r>
      <w:r w:rsidRPr="00041B7F">
        <w:rPr>
          <w:rFonts w:cs="Arial"/>
        </w:rPr>
        <w:br/>
      </w:r>
    </w:p>
    <w:p w:rsidR="00041B7F" w:rsidRPr="00041B7F" w:rsidRDefault="00041B7F" w:rsidP="004B5E56">
      <w:pPr>
        <w:pStyle w:val="ListParagraph"/>
        <w:numPr>
          <w:ilvl w:val="0"/>
          <w:numId w:val="1"/>
        </w:numPr>
        <w:spacing w:after="200" w:line="276" w:lineRule="auto"/>
        <w:rPr>
          <w:rFonts w:cs="Arial"/>
        </w:rPr>
      </w:pPr>
      <w:r w:rsidRPr="00041B7F">
        <w:rPr>
          <w:rFonts w:cs="Arial"/>
        </w:rPr>
        <w:t>Set out the use of the losses in a loss memorandum.</w:t>
      </w:r>
    </w:p>
    <w:p w:rsidR="00041B7F" w:rsidRDefault="00041B7F" w:rsidP="004B5E56">
      <w:pPr>
        <w:spacing w:line="276" w:lineRule="auto"/>
        <w:rPr>
          <w:rFonts w:ascii="Arial" w:eastAsiaTheme="minorHAnsi" w:hAnsi="Arial" w:cs="Arial"/>
          <w:b/>
          <w:color w:val="000000" w:themeColor="text1"/>
          <w:sz w:val="20"/>
          <w:szCs w:val="20"/>
        </w:rPr>
      </w:pPr>
      <w:r>
        <w:rPr>
          <w:rFonts w:cs="Arial"/>
          <w:b/>
        </w:rPr>
        <w:br w:type="page"/>
      </w:r>
    </w:p>
    <w:p w:rsidR="00041B7F" w:rsidRPr="00161F84" w:rsidRDefault="00041B7F" w:rsidP="004B5E56">
      <w:pPr>
        <w:spacing w:line="276" w:lineRule="auto"/>
        <w:rPr>
          <w:rFonts w:ascii="Arial" w:hAnsi="Arial" w:cs="Arial"/>
          <w:b/>
        </w:rPr>
      </w:pPr>
      <w:r w:rsidRPr="00161F84">
        <w:rPr>
          <w:rFonts w:ascii="Arial" w:hAnsi="Arial" w:cs="Arial"/>
          <w:b/>
        </w:rPr>
        <w:t>Corporation tax – payment and administration</w:t>
      </w:r>
    </w:p>
    <w:p w:rsidR="00041B7F" w:rsidRDefault="00041B7F" w:rsidP="004B5E56">
      <w:pPr>
        <w:spacing w:line="276" w:lineRule="auto"/>
        <w:rPr>
          <w:rFonts w:ascii="Arial" w:hAnsi="Arial" w:cs="Arial"/>
          <w:b/>
        </w:rPr>
      </w:pPr>
    </w:p>
    <w:p w:rsidR="00041B7F" w:rsidRPr="00161F84" w:rsidRDefault="00041B7F" w:rsidP="004B5E56">
      <w:pPr>
        <w:spacing w:line="276" w:lineRule="auto"/>
        <w:rPr>
          <w:rFonts w:ascii="Arial" w:hAnsi="Arial" w:cs="Arial"/>
          <w:b/>
          <w:sz w:val="20"/>
          <w:szCs w:val="20"/>
        </w:rPr>
      </w:pPr>
      <w:r w:rsidRPr="00161F84">
        <w:rPr>
          <w:rFonts w:ascii="Arial" w:hAnsi="Arial" w:cs="Arial"/>
          <w:b/>
          <w:sz w:val="20"/>
          <w:szCs w:val="20"/>
        </w:rPr>
        <w:t>Payment dates</w:t>
      </w:r>
    </w:p>
    <w:p w:rsidR="00041B7F" w:rsidRPr="00A85602" w:rsidRDefault="00041B7F" w:rsidP="004B5E56">
      <w:pPr>
        <w:pStyle w:val="ListParagraph"/>
        <w:numPr>
          <w:ilvl w:val="0"/>
          <w:numId w:val="5"/>
        </w:numPr>
        <w:spacing w:after="200" w:line="276" w:lineRule="auto"/>
        <w:rPr>
          <w:rFonts w:cs="Arial"/>
        </w:rPr>
      </w:pPr>
      <w:r w:rsidRPr="00A85602">
        <w:rPr>
          <w:rFonts w:cs="Arial"/>
        </w:rPr>
        <w:t>Small companies (annual profits less than £1.5 million): 9 months + 1 day after end of the accounting period (CAP).</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Large companies (annual profits greater than £1.5 million) must estimate year’s tax liability and pay 25% of the year’s liability:</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6 months </w:t>
      </w:r>
      <w:r w:rsidR="00854AFE">
        <w:rPr>
          <w:rFonts w:cs="Arial"/>
        </w:rPr>
        <w:t>and</w:t>
      </w:r>
      <w:r w:rsidR="00854AFE" w:rsidRPr="00A85602">
        <w:rPr>
          <w:rFonts w:cs="Arial"/>
        </w:rPr>
        <w:t xml:space="preserve"> </w:t>
      </w:r>
      <w:r w:rsidRPr="00A85602">
        <w:rPr>
          <w:rFonts w:cs="Arial"/>
        </w:rPr>
        <w:t>14 days after start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9 months </w:t>
      </w:r>
      <w:r w:rsidR="00854AFE">
        <w:rPr>
          <w:rFonts w:cs="Arial"/>
        </w:rPr>
        <w:t>and</w:t>
      </w:r>
      <w:r w:rsidR="00854AFE" w:rsidRPr="00A85602">
        <w:rPr>
          <w:rFonts w:cs="Arial"/>
        </w:rPr>
        <w:t xml:space="preserve"> </w:t>
      </w:r>
      <w:r w:rsidRPr="00A85602">
        <w:rPr>
          <w:rFonts w:cs="Arial"/>
        </w:rPr>
        <w:t>14 days after start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14 days after end of CAP</w:t>
      </w:r>
    </w:p>
    <w:p w:rsidR="00041B7F" w:rsidRPr="00A85602" w:rsidRDefault="00041B7F" w:rsidP="004B5E56">
      <w:pPr>
        <w:pStyle w:val="ListParagraph"/>
        <w:numPr>
          <w:ilvl w:val="0"/>
          <w:numId w:val="15"/>
        </w:numPr>
        <w:spacing w:after="200" w:line="276" w:lineRule="auto"/>
        <w:rPr>
          <w:rFonts w:cs="Arial"/>
        </w:rPr>
      </w:pPr>
      <w:r w:rsidRPr="00A85602">
        <w:rPr>
          <w:rFonts w:cs="Arial"/>
        </w:rPr>
        <w:t xml:space="preserve">3 months </w:t>
      </w:r>
      <w:r w:rsidR="00854AFE">
        <w:rPr>
          <w:rFonts w:cs="Arial"/>
        </w:rPr>
        <w:t>and</w:t>
      </w:r>
      <w:r w:rsidR="00854AFE" w:rsidRPr="00A85602">
        <w:rPr>
          <w:rFonts w:cs="Arial"/>
        </w:rPr>
        <w:t xml:space="preserve"> </w:t>
      </w:r>
      <w:r w:rsidRPr="00A85602">
        <w:rPr>
          <w:rFonts w:cs="Arial"/>
        </w:rPr>
        <w:t>14 days after end of CAP</w:t>
      </w:r>
    </w:p>
    <w:p w:rsidR="00041B7F" w:rsidRPr="00A85602" w:rsidRDefault="00041B7F" w:rsidP="004B5E56">
      <w:pPr>
        <w:pStyle w:val="ListParagraph"/>
        <w:spacing w:line="276" w:lineRule="auto"/>
        <w:ind w:left="1830"/>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 xml:space="preserve">Estimate must be revised for each quarter. Penalties may be charged if company deliberately fails to pay sufficient instalments. </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 xml:space="preserve">No </w:t>
      </w:r>
      <w:proofErr w:type="gramStart"/>
      <w:r w:rsidRPr="00A85602">
        <w:rPr>
          <w:rFonts w:cs="Arial"/>
        </w:rPr>
        <w:t>instalments due for first year company is</w:t>
      </w:r>
      <w:proofErr w:type="gramEnd"/>
      <w:r w:rsidRPr="00A85602">
        <w:rPr>
          <w:rFonts w:cs="Arial"/>
        </w:rPr>
        <w:t xml:space="preserve"> large unless profits </w:t>
      </w:r>
      <w:r w:rsidR="00662E3C">
        <w:rPr>
          <w:rFonts w:cs="Arial"/>
        </w:rPr>
        <w:t>are greater than</w:t>
      </w:r>
      <w:r w:rsidR="00662E3C" w:rsidRPr="00A85602">
        <w:rPr>
          <w:rFonts w:cs="Arial"/>
        </w:rPr>
        <w:t xml:space="preserve"> </w:t>
      </w:r>
      <w:r w:rsidRPr="00A85602">
        <w:rPr>
          <w:rFonts w:cs="Arial"/>
        </w:rPr>
        <w:t>£10 million.</w:t>
      </w:r>
    </w:p>
    <w:p w:rsidR="00041B7F" w:rsidRPr="00A85602" w:rsidRDefault="00041B7F" w:rsidP="004B5E56">
      <w:pPr>
        <w:pStyle w:val="ListParagraph"/>
        <w:spacing w:after="200"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Associated companies share the annual profit limit of £1.5 million equally.</w:t>
      </w:r>
    </w:p>
    <w:p w:rsidR="00041B7F" w:rsidRPr="00F27775" w:rsidRDefault="00041B7F" w:rsidP="004B5E56">
      <w:pPr>
        <w:pStyle w:val="ListParagraph"/>
        <w:spacing w:after="200" w:line="276" w:lineRule="auto"/>
        <w:rPr>
          <w:rFonts w:cs="Arial"/>
        </w:rPr>
      </w:pPr>
    </w:p>
    <w:p w:rsidR="00041B7F" w:rsidRPr="00F27775" w:rsidRDefault="00041B7F" w:rsidP="004B5E56">
      <w:pPr>
        <w:spacing w:line="276" w:lineRule="auto"/>
        <w:rPr>
          <w:rFonts w:ascii="Arial" w:hAnsi="Arial" w:cs="Arial"/>
          <w:b/>
          <w:sz w:val="20"/>
          <w:szCs w:val="20"/>
        </w:rPr>
      </w:pPr>
      <w:r w:rsidRPr="00F27775">
        <w:rPr>
          <w:rFonts w:ascii="Arial" w:hAnsi="Arial" w:cs="Arial"/>
          <w:b/>
          <w:sz w:val="20"/>
          <w:szCs w:val="20"/>
        </w:rPr>
        <w:t>Interest on late payments</w:t>
      </w:r>
    </w:p>
    <w:p w:rsidR="00041B7F" w:rsidRPr="00A85602" w:rsidRDefault="00041B7F" w:rsidP="004B5E56">
      <w:pPr>
        <w:pStyle w:val="ListParagraph"/>
        <w:numPr>
          <w:ilvl w:val="0"/>
          <w:numId w:val="5"/>
        </w:numPr>
        <w:spacing w:after="200" w:line="276" w:lineRule="auto"/>
        <w:rPr>
          <w:rFonts w:cs="Arial"/>
        </w:rPr>
      </w:pPr>
      <w:r w:rsidRPr="00A85602">
        <w:rPr>
          <w:rFonts w:cs="Arial"/>
        </w:rPr>
        <w:t>Interest charged daily on late payment. Overpayment of tax receives interest from HMRC. Interest is taxable/tax allowable as interest income.</w:t>
      </w:r>
    </w:p>
    <w:p w:rsidR="00041B7F" w:rsidRPr="00F27775" w:rsidRDefault="00041B7F" w:rsidP="004B5E56">
      <w:pPr>
        <w:spacing w:line="276" w:lineRule="auto"/>
        <w:rPr>
          <w:rFonts w:ascii="Arial" w:hAnsi="Arial" w:cs="Arial"/>
          <w:b/>
          <w:sz w:val="20"/>
          <w:szCs w:val="20"/>
        </w:rPr>
      </w:pPr>
      <w:r w:rsidRPr="00F27775">
        <w:rPr>
          <w:rFonts w:ascii="Arial" w:hAnsi="Arial" w:cs="Arial"/>
          <w:b/>
          <w:sz w:val="20"/>
          <w:szCs w:val="20"/>
        </w:rPr>
        <w:t>Filing the return</w:t>
      </w:r>
    </w:p>
    <w:p w:rsidR="00041B7F" w:rsidRPr="00A85602" w:rsidRDefault="00041B7F" w:rsidP="004B5E56">
      <w:pPr>
        <w:pStyle w:val="ListParagraph"/>
        <w:numPr>
          <w:ilvl w:val="0"/>
          <w:numId w:val="5"/>
        </w:numPr>
        <w:spacing w:after="200" w:line="276" w:lineRule="auto"/>
        <w:rPr>
          <w:rFonts w:cs="Arial"/>
        </w:rPr>
      </w:pPr>
      <w:r w:rsidRPr="00A85602">
        <w:rPr>
          <w:rFonts w:cs="Arial"/>
        </w:rPr>
        <w:t>Filed on the later of 12 months after end of CAP or 3 months after the notice to deliver a tax return has been issued.</w:t>
      </w:r>
      <w:r w:rsidRPr="00A85602">
        <w:rPr>
          <w:rFonts w:cs="Arial"/>
        </w:rPr>
        <w:br/>
      </w:r>
    </w:p>
    <w:p w:rsidR="00041B7F" w:rsidRPr="00424F63" w:rsidRDefault="00041B7F" w:rsidP="00424F63">
      <w:pPr>
        <w:pStyle w:val="ListParagraph"/>
        <w:numPr>
          <w:ilvl w:val="0"/>
          <w:numId w:val="5"/>
        </w:numPr>
        <w:spacing w:after="200" w:line="276" w:lineRule="auto"/>
        <w:rPr>
          <w:rFonts w:cs="Arial"/>
        </w:rPr>
      </w:pPr>
      <w:r w:rsidRPr="00424F63">
        <w:rPr>
          <w:rFonts w:cs="Arial"/>
        </w:rPr>
        <w:t>Late filing penalties are:</w:t>
      </w:r>
      <w:r w:rsidR="00424F63">
        <w:rPr>
          <w:rFonts w:cs="Arial"/>
        </w:rPr>
        <w:t xml:space="preserve"> </w:t>
      </w:r>
      <w:r w:rsidR="00662E3C" w:rsidRPr="00424F63">
        <w:rPr>
          <w:rFonts w:cs="Arial"/>
        </w:rPr>
        <w:t xml:space="preserve">less than </w:t>
      </w:r>
      <w:r w:rsidRPr="00424F63">
        <w:rPr>
          <w:rFonts w:cs="Arial"/>
        </w:rPr>
        <w:t>3 months late</w:t>
      </w:r>
      <w:r w:rsidR="005E0912" w:rsidRPr="00424F63">
        <w:rPr>
          <w:rFonts w:cs="Arial"/>
        </w:rPr>
        <w:t>:</w:t>
      </w:r>
      <w:r w:rsidRPr="00424F63">
        <w:rPr>
          <w:rFonts w:cs="Arial"/>
        </w:rPr>
        <w:t xml:space="preserve"> £100</w:t>
      </w:r>
      <w:r w:rsidR="00424F63">
        <w:rPr>
          <w:rFonts w:cs="Arial"/>
        </w:rPr>
        <w:t xml:space="preserve">; </w:t>
      </w:r>
      <w:r w:rsidR="00662E3C" w:rsidRPr="00424F63">
        <w:rPr>
          <w:rFonts w:cs="Arial"/>
        </w:rPr>
        <w:t xml:space="preserve">greater than </w:t>
      </w:r>
      <w:r w:rsidRPr="00424F63">
        <w:rPr>
          <w:rFonts w:cs="Arial"/>
        </w:rPr>
        <w:t>3 months late</w:t>
      </w:r>
      <w:r w:rsidR="005E0912" w:rsidRPr="00424F63">
        <w:rPr>
          <w:rFonts w:cs="Arial"/>
        </w:rPr>
        <w:t>:</w:t>
      </w:r>
      <w:r w:rsidRPr="00424F63">
        <w:rPr>
          <w:rFonts w:cs="Arial"/>
        </w:rPr>
        <w:t xml:space="preserve"> £200</w:t>
      </w:r>
      <w:r w:rsidR="00424F63">
        <w:rPr>
          <w:rFonts w:cs="Arial"/>
        </w:rPr>
        <w:t>; greater than</w:t>
      </w:r>
      <w:r w:rsidRPr="00424F63">
        <w:rPr>
          <w:rFonts w:cs="Arial"/>
        </w:rPr>
        <w:t xml:space="preserve"> 6 months late</w:t>
      </w:r>
      <w:r w:rsidR="00424F63">
        <w:rPr>
          <w:rFonts w:cs="Arial"/>
        </w:rPr>
        <w:t>:</w:t>
      </w:r>
      <w:r w:rsidRPr="00424F63">
        <w:rPr>
          <w:rFonts w:cs="Arial"/>
        </w:rPr>
        <w:t xml:space="preserve"> 10% of tax due per return</w:t>
      </w:r>
      <w:r w:rsidR="00424F63">
        <w:rPr>
          <w:rFonts w:cs="Arial"/>
        </w:rPr>
        <w:t>;</w:t>
      </w:r>
      <w:r w:rsidRPr="00424F63">
        <w:rPr>
          <w:rFonts w:cs="Arial"/>
        </w:rPr>
        <w:t xml:space="preserve"> </w:t>
      </w:r>
      <w:r w:rsidR="00424F63">
        <w:rPr>
          <w:rFonts w:cs="Arial"/>
        </w:rPr>
        <w:t xml:space="preserve">greater than </w:t>
      </w:r>
      <w:r w:rsidRPr="00424F63">
        <w:rPr>
          <w:rFonts w:cs="Arial"/>
        </w:rPr>
        <w:t>12 months late</w:t>
      </w:r>
      <w:r w:rsidR="00424F63">
        <w:rPr>
          <w:rFonts w:cs="Arial"/>
        </w:rPr>
        <w:t>:</w:t>
      </w:r>
      <w:r w:rsidRPr="00424F63">
        <w:rPr>
          <w:rFonts w:cs="Arial"/>
        </w:rPr>
        <w:t xml:space="preserve"> 20% of tax due per return.</w:t>
      </w:r>
      <w:r w:rsidRPr="00424F63">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Company must notify HMRC it is within scope of corporation tax within 3 months of starting to trade.</w:t>
      </w:r>
      <w:r w:rsidRPr="00A85602">
        <w:rPr>
          <w:rFonts w:cs="Arial"/>
        </w:rPr>
        <w:br/>
      </w:r>
    </w:p>
    <w:p w:rsidR="00041B7F" w:rsidRPr="00A85602" w:rsidRDefault="00041B7F" w:rsidP="004B5E56">
      <w:pPr>
        <w:pStyle w:val="ListParagraph"/>
        <w:numPr>
          <w:ilvl w:val="0"/>
          <w:numId w:val="5"/>
        </w:numPr>
        <w:spacing w:after="200" w:line="276" w:lineRule="auto"/>
        <w:rPr>
          <w:rFonts w:cs="Arial"/>
        </w:rPr>
      </w:pPr>
      <w:r w:rsidRPr="00A85602">
        <w:rPr>
          <w:rFonts w:cs="Arial"/>
        </w:rPr>
        <w:t>Company can amend return within 12 months of the filing date.</w:t>
      </w:r>
    </w:p>
    <w:p w:rsidR="00041B7F" w:rsidRPr="00F27775" w:rsidRDefault="00041B7F" w:rsidP="004B5E56">
      <w:pPr>
        <w:spacing w:line="276" w:lineRule="auto"/>
        <w:rPr>
          <w:rFonts w:ascii="Arial" w:hAnsi="Arial" w:cs="Arial"/>
          <w:sz w:val="20"/>
          <w:szCs w:val="20"/>
        </w:rPr>
      </w:pPr>
      <w:r w:rsidRPr="00F27775">
        <w:rPr>
          <w:rFonts w:ascii="Arial" w:hAnsi="Arial" w:cs="Arial"/>
          <w:b/>
          <w:sz w:val="20"/>
          <w:szCs w:val="20"/>
        </w:rPr>
        <w:t>Enquiries and other penalties</w:t>
      </w:r>
    </w:p>
    <w:p w:rsidR="00041B7F" w:rsidRPr="00A85602" w:rsidRDefault="00041B7F" w:rsidP="004B5E56">
      <w:pPr>
        <w:pStyle w:val="ListParagraph"/>
        <w:numPr>
          <w:ilvl w:val="0"/>
          <w:numId w:val="5"/>
        </w:numPr>
        <w:spacing w:after="200" w:line="276" w:lineRule="auto"/>
        <w:rPr>
          <w:rFonts w:cs="Arial"/>
        </w:rPr>
      </w:pPr>
      <w:r w:rsidRPr="00A85602">
        <w:rPr>
          <w:rFonts w:cs="Arial"/>
        </w:rPr>
        <w:t>HMRC must notify company of enquiry within 12 months of submission of return.</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Basis of enquiry – random or HMRC believe income/expenses misstated.</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Penalty for failure to produce enquiry documents</w:t>
      </w:r>
      <w:r w:rsidR="00B55DA5">
        <w:rPr>
          <w:rFonts w:cs="Arial"/>
        </w:rPr>
        <w:t>:</w:t>
      </w:r>
      <w:r w:rsidRPr="00A85602">
        <w:rPr>
          <w:rFonts w:cs="Arial"/>
        </w:rPr>
        <w:t xml:space="preserve"> £50 + £30 per day.</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Penalty for failure to keep proper records is up to £3,000. Records must be retained for six years after the end of the relevant accounting period.</w:t>
      </w:r>
    </w:p>
    <w:p w:rsidR="00041B7F" w:rsidRPr="00A85602" w:rsidRDefault="00041B7F" w:rsidP="004B5E56">
      <w:pPr>
        <w:pStyle w:val="ListParagraph"/>
        <w:spacing w:line="276" w:lineRule="auto"/>
        <w:rPr>
          <w:rFonts w:cs="Arial"/>
        </w:rPr>
      </w:pPr>
    </w:p>
    <w:p w:rsidR="00041B7F" w:rsidRPr="00A85602" w:rsidRDefault="00041B7F" w:rsidP="004B5E56">
      <w:pPr>
        <w:pStyle w:val="ListParagraph"/>
        <w:numPr>
          <w:ilvl w:val="0"/>
          <w:numId w:val="5"/>
        </w:numPr>
        <w:spacing w:after="200" w:line="276" w:lineRule="auto"/>
        <w:rPr>
          <w:rFonts w:cs="Arial"/>
        </w:rPr>
      </w:pPr>
      <w:r w:rsidRPr="00A85602">
        <w:rPr>
          <w:rFonts w:cs="Arial"/>
        </w:rPr>
        <w:t>Penalties for incorrect returns are the same as for sole</w:t>
      </w:r>
      <w:r w:rsidR="00911D6B">
        <w:rPr>
          <w:rFonts w:cs="Arial"/>
        </w:rPr>
        <w:t xml:space="preserve"> </w:t>
      </w:r>
      <w:r w:rsidRPr="00A85602">
        <w:rPr>
          <w:rFonts w:cs="Arial"/>
        </w:rPr>
        <w:t xml:space="preserve">traders and partners – see </w:t>
      </w:r>
      <w:proofErr w:type="spellStart"/>
      <w:r w:rsidRPr="00A85602">
        <w:rPr>
          <w:rFonts w:cs="Arial"/>
        </w:rPr>
        <w:t>sole</w:t>
      </w:r>
      <w:proofErr w:type="spellEnd"/>
      <w:r w:rsidR="00911D6B">
        <w:rPr>
          <w:rFonts w:cs="Arial"/>
        </w:rPr>
        <w:t xml:space="preserve"> </w:t>
      </w:r>
      <w:r w:rsidRPr="00A85602">
        <w:rPr>
          <w:rFonts w:cs="Arial"/>
        </w:rPr>
        <w:t>traders and partners link.</w:t>
      </w:r>
    </w:p>
    <w:p w:rsidR="00041B7F" w:rsidRDefault="00041B7F" w:rsidP="004B5E56">
      <w:pPr>
        <w:spacing w:line="276" w:lineRule="auto"/>
        <w:rPr>
          <w:rFonts w:ascii="Arial" w:eastAsiaTheme="minorHAnsi" w:hAnsi="Arial" w:cs="Arial"/>
          <w:b/>
          <w:color w:val="000000" w:themeColor="text1"/>
          <w:sz w:val="20"/>
          <w:szCs w:val="20"/>
        </w:rPr>
      </w:pPr>
      <w:r>
        <w:rPr>
          <w:rFonts w:cs="Arial"/>
          <w:b/>
        </w:rPr>
        <w:br w:type="page"/>
      </w:r>
    </w:p>
    <w:p w:rsidR="0021462E" w:rsidRPr="0021462E" w:rsidRDefault="0021462E" w:rsidP="004B5E56">
      <w:pPr>
        <w:pStyle w:val="ListParagraph"/>
        <w:spacing w:after="200" w:line="276" w:lineRule="auto"/>
        <w:ind w:left="0"/>
        <w:rPr>
          <w:rFonts w:cs="Arial"/>
          <w:b/>
          <w:sz w:val="24"/>
          <w:szCs w:val="24"/>
        </w:rPr>
      </w:pPr>
      <w:r w:rsidRPr="0021462E">
        <w:rPr>
          <w:rFonts w:cs="Arial"/>
          <w:b/>
          <w:sz w:val="24"/>
          <w:szCs w:val="24"/>
        </w:rPr>
        <w:t>Current tax reliefs and other tax issues</w:t>
      </w:r>
    </w:p>
    <w:p w:rsidR="0021462E" w:rsidRPr="00A71D64" w:rsidRDefault="0021462E" w:rsidP="004B5E56">
      <w:pPr>
        <w:pStyle w:val="ListParagraph"/>
        <w:spacing w:after="200" w:line="276" w:lineRule="auto"/>
        <w:ind w:left="0"/>
        <w:rPr>
          <w:rFonts w:cs="Arial"/>
          <w:b/>
          <w:sz w:val="22"/>
          <w:szCs w:val="22"/>
        </w:rPr>
      </w:pPr>
    </w:p>
    <w:p w:rsidR="0021462E" w:rsidRPr="00562CF1" w:rsidRDefault="0021462E" w:rsidP="004B5E56">
      <w:pPr>
        <w:pStyle w:val="ListParagraph"/>
        <w:spacing w:after="200" w:line="276" w:lineRule="auto"/>
        <w:ind w:left="0"/>
        <w:rPr>
          <w:rFonts w:cs="Arial"/>
          <w:b/>
        </w:rPr>
      </w:pPr>
      <w:r w:rsidRPr="00562CF1">
        <w:rPr>
          <w:rFonts w:cs="Arial"/>
          <w:b/>
        </w:rPr>
        <w:t>Research and Development (R&amp;D) Tax Credits for Small and Medium Sized Companies</w:t>
      </w:r>
    </w:p>
    <w:p w:rsidR="0021462E" w:rsidRPr="00562CF1" w:rsidRDefault="0021462E" w:rsidP="007A0075">
      <w:pPr>
        <w:rPr>
          <w:rFonts w:ascii="Arial" w:hAnsi="Arial" w:cs="Arial"/>
          <w:sz w:val="20"/>
          <w:szCs w:val="20"/>
          <w:lang w:val="en" w:eastAsia="en-GB"/>
        </w:rPr>
      </w:pPr>
      <w:r w:rsidRPr="00562CF1">
        <w:rPr>
          <w:rFonts w:ascii="Arial" w:hAnsi="Arial" w:cs="Arial"/>
          <w:sz w:val="20"/>
          <w:szCs w:val="20"/>
          <w:lang w:val="en" w:eastAsia="en-GB"/>
        </w:rPr>
        <w:t>A small or medium sized enterprise (SME) is a company with less than 500 employees with either:</w:t>
      </w:r>
    </w:p>
    <w:p w:rsidR="0021462E" w:rsidRPr="00562CF1" w:rsidRDefault="0021462E" w:rsidP="007A0075">
      <w:pPr>
        <w:numPr>
          <w:ilvl w:val="0"/>
          <w:numId w:val="16"/>
        </w:numPr>
        <w:ind w:left="714" w:hanging="357"/>
        <w:rPr>
          <w:rFonts w:ascii="Arial" w:hAnsi="Arial" w:cs="Arial"/>
          <w:sz w:val="20"/>
          <w:szCs w:val="20"/>
          <w:lang w:val="en" w:eastAsia="en-GB"/>
        </w:rPr>
      </w:pPr>
      <w:r w:rsidRPr="00562CF1">
        <w:rPr>
          <w:rFonts w:ascii="Arial" w:hAnsi="Arial" w:cs="Arial"/>
          <w:sz w:val="20"/>
          <w:szCs w:val="20"/>
          <w:lang w:val="en" w:eastAsia="en-GB"/>
        </w:rPr>
        <w:t>an annual turnover under €100 million, or</w:t>
      </w:r>
    </w:p>
    <w:p w:rsidR="0021462E" w:rsidRPr="00562CF1" w:rsidRDefault="0021462E" w:rsidP="004B5E56">
      <w:pPr>
        <w:numPr>
          <w:ilvl w:val="0"/>
          <w:numId w:val="16"/>
        </w:numPr>
        <w:spacing w:before="100" w:beforeAutospacing="1" w:after="100" w:afterAutospacing="1" w:line="276" w:lineRule="auto"/>
        <w:rPr>
          <w:rFonts w:ascii="Arial" w:hAnsi="Arial" w:cs="Arial"/>
          <w:sz w:val="20"/>
          <w:szCs w:val="20"/>
          <w:lang w:val="en" w:eastAsia="en-GB"/>
        </w:rPr>
      </w:pPr>
      <w:proofErr w:type="gramStart"/>
      <w:r w:rsidRPr="00562CF1">
        <w:rPr>
          <w:rFonts w:ascii="Arial" w:hAnsi="Arial" w:cs="Arial"/>
          <w:sz w:val="20"/>
          <w:szCs w:val="20"/>
          <w:lang w:val="en" w:eastAsia="en-GB"/>
        </w:rPr>
        <w:t>a</w:t>
      </w:r>
      <w:proofErr w:type="gramEnd"/>
      <w:r w:rsidRPr="00562CF1">
        <w:rPr>
          <w:rFonts w:ascii="Arial" w:hAnsi="Arial" w:cs="Arial"/>
          <w:sz w:val="20"/>
          <w:szCs w:val="20"/>
          <w:lang w:val="en" w:eastAsia="en-GB"/>
        </w:rPr>
        <w:t xml:space="preserve"> balance sheet under €86 million</w:t>
      </w:r>
      <w:r>
        <w:rPr>
          <w:rFonts w:ascii="Arial" w:hAnsi="Arial" w:cs="Arial"/>
          <w:sz w:val="20"/>
          <w:szCs w:val="20"/>
          <w:lang w:val="en" w:eastAsia="en-GB"/>
        </w:rPr>
        <w:t>.</w:t>
      </w:r>
      <w:r w:rsidRPr="00562CF1">
        <w:rPr>
          <w:rFonts w:ascii="Arial" w:hAnsi="Arial" w:cs="Arial"/>
          <w:sz w:val="20"/>
          <w:szCs w:val="20"/>
          <w:lang w:val="en" w:eastAsia="en-GB"/>
        </w:rPr>
        <w:t xml:space="preserve"> </w:t>
      </w:r>
    </w:p>
    <w:p w:rsidR="0021462E" w:rsidRPr="00562CF1" w:rsidRDefault="0021462E" w:rsidP="004B5E56">
      <w:pPr>
        <w:spacing w:before="100" w:beforeAutospacing="1" w:after="100" w:afterAutospacing="1" w:line="276" w:lineRule="auto"/>
        <w:outlineLvl w:val="1"/>
        <w:rPr>
          <w:rFonts w:ascii="Arial" w:hAnsi="Arial" w:cs="Arial"/>
          <w:b/>
          <w:bCs/>
          <w:sz w:val="20"/>
          <w:szCs w:val="20"/>
          <w:lang w:val="en" w:eastAsia="en-GB"/>
        </w:rPr>
      </w:pPr>
      <w:r w:rsidRPr="00562CF1">
        <w:rPr>
          <w:rFonts w:ascii="Arial" w:hAnsi="Arial" w:cs="Arial"/>
          <w:b/>
          <w:bCs/>
          <w:sz w:val="20"/>
          <w:szCs w:val="20"/>
          <w:lang w:val="en" w:eastAsia="en-GB"/>
        </w:rPr>
        <w:t>The SME tax relief scheme</w:t>
      </w:r>
    </w:p>
    <w:p w:rsidR="0021462E" w:rsidRPr="00562CF1" w:rsidRDefault="0021462E" w:rsidP="004B5E56">
      <w:pPr>
        <w:spacing w:before="100" w:beforeAutospacing="1" w:after="100" w:afterAutospacing="1" w:line="276" w:lineRule="auto"/>
        <w:rPr>
          <w:rFonts w:ascii="Arial" w:hAnsi="Arial" w:cs="Arial"/>
          <w:sz w:val="20"/>
          <w:szCs w:val="20"/>
          <w:lang w:val="en" w:eastAsia="en-GB"/>
        </w:rPr>
      </w:pPr>
      <w:r w:rsidRPr="00562CF1">
        <w:rPr>
          <w:rFonts w:ascii="Arial" w:hAnsi="Arial" w:cs="Arial"/>
          <w:sz w:val="20"/>
          <w:szCs w:val="20"/>
          <w:lang w:val="en" w:eastAsia="en-GB"/>
        </w:rPr>
        <w:t xml:space="preserve">From 1 April 2015, the tax relief on allowable R&amp;D costs is 230%. </w:t>
      </w:r>
    </w:p>
    <w:p w:rsidR="0021462E" w:rsidRPr="00562CF1" w:rsidRDefault="0021462E" w:rsidP="004B5E56">
      <w:pPr>
        <w:spacing w:before="100" w:beforeAutospacing="1" w:after="100" w:afterAutospacing="1" w:line="276" w:lineRule="auto"/>
        <w:rPr>
          <w:rFonts w:ascii="Arial" w:hAnsi="Arial" w:cs="Arial"/>
          <w:b/>
          <w:bCs/>
          <w:sz w:val="20"/>
          <w:szCs w:val="20"/>
          <w:lang w:val="en" w:eastAsia="en-GB"/>
        </w:rPr>
      </w:pPr>
      <w:r w:rsidRPr="00562CF1">
        <w:rPr>
          <w:rFonts w:ascii="Arial" w:hAnsi="Arial" w:cs="Arial"/>
          <w:b/>
          <w:bCs/>
          <w:sz w:val="20"/>
          <w:szCs w:val="20"/>
          <w:lang w:val="en" w:eastAsia="en-GB"/>
        </w:rPr>
        <w:t>R&amp;D tax credits</w:t>
      </w:r>
    </w:p>
    <w:p w:rsidR="0021462E" w:rsidRPr="00562CF1" w:rsidRDefault="0021462E" w:rsidP="004B5E56">
      <w:pPr>
        <w:spacing w:before="100" w:beforeAutospacing="1" w:after="100" w:afterAutospacing="1" w:line="276" w:lineRule="auto"/>
        <w:rPr>
          <w:rFonts w:ascii="Arial" w:hAnsi="Arial" w:cs="Arial"/>
          <w:sz w:val="20"/>
          <w:szCs w:val="20"/>
          <w:lang w:val="en" w:eastAsia="en-GB"/>
        </w:rPr>
      </w:pPr>
      <w:r w:rsidRPr="00562CF1">
        <w:rPr>
          <w:rFonts w:ascii="Arial" w:hAnsi="Arial" w:cs="Arial"/>
          <w:sz w:val="20"/>
          <w:szCs w:val="20"/>
          <w:lang w:val="en" w:eastAsia="en-GB"/>
        </w:rPr>
        <w:t xml:space="preserve">If a company makes a loss, it can choose to receive R&amp;D tax credits instead of carrying forward a loss. The amount of tax credit is limited to the total of PAYE and National Insurance contribution liabilities of the company. </w:t>
      </w:r>
    </w:p>
    <w:p w:rsidR="0021462E" w:rsidRPr="00562CF1" w:rsidRDefault="0021462E" w:rsidP="004B5E56">
      <w:pPr>
        <w:spacing w:before="100" w:beforeAutospacing="1" w:after="100" w:afterAutospacing="1" w:line="276" w:lineRule="auto"/>
        <w:rPr>
          <w:rFonts w:ascii="Arial" w:hAnsi="Arial" w:cs="Arial"/>
          <w:b/>
          <w:bCs/>
          <w:sz w:val="20"/>
          <w:szCs w:val="20"/>
          <w:lang w:val="en" w:eastAsia="en-GB"/>
        </w:rPr>
      </w:pPr>
      <w:r w:rsidRPr="00562CF1">
        <w:rPr>
          <w:rFonts w:ascii="Arial" w:hAnsi="Arial" w:cs="Arial"/>
          <w:b/>
          <w:bCs/>
          <w:sz w:val="20"/>
          <w:szCs w:val="20"/>
          <w:lang w:val="en" w:eastAsia="en-GB"/>
        </w:rPr>
        <w:t>Costs that qualify for R&amp;D tax relief</w:t>
      </w:r>
    </w:p>
    <w:p w:rsidR="0021462E" w:rsidRDefault="0021462E" w:rsidP="004B5E56">
      <w:pPr>
        <w:spacing w:before="100" w:beforeAutospacing="1" w:after="100" w:afterAutospacing="1" w:line="276" w:lineRule="auto"/>
        <w:rPr>
          <w:rFonts w:ascii="Arial" w:hAnsi="Arial" w:cs="Arial"/>
          <w:bCs/>
          <w:sz w:val="20"/>
          <w:szCs w:val="20"/>
          <w:lang w:val="en" w:eastAsia="en-GB"/>
        </w:rPr>
      </w:pPr>
      <w:r w:rsidRPr="00562CF1">
        <w:rPr>
          <w:rFonts w:ascii="Arial" w:hAnsi="Arial" w:cs="Arial"/>
          <w:bCs/>
          <w:sz w:val="20"/>
          <w:szCs w:val="20"/>
          <w:lang w:val="en" w:eastAsia="en-GB"/>
        </w:rPr>
        <w:t xml:space="preserve">To qualify as R&amp;D, any activity must contribute directly to seeking </w:t>
      </w:r>
      <w:r>
        <w:rPr>
          <w:rFonts w:ascii="Arial" w:hAnsi="Arial" w:cs="Arial"/>
          <w:bCs/>
          <w:sz w:val="20"/>
          <w:szCs w:val="20"/>
          <w:lang w:val="en" w:eastAsia="en-GB"/>
        </w:rPr>
        <w:t xml:space="preserve">an </w:t>
      </w:r>
      <w:r w:rsidRPr="00562CF1">
        <w:rPr>
          <w:rFonts w:ascii="Arial" w:hAnsi="Arial" w:cs="Arial"/>
          <w:bCs/>
          <w:sz w:val="20"/>
          <w:szCs w:val="20"/>
          <w:lang w:val="en" w:eastAsia="en-GB"/>
        </w:rPr>
        <w:t>advance in science or technology or must be a qualifying indirect activity.</w:t>
      </w:r>
    </w:p>
    <w:p w:rsidR="0021462E" w:rsidRPr="003D1A9E" w:rsidRDefault="0021462E" w:rsidP="004B5E56">
      <w:pPr>
        <w:spacing w:line="276" w:lineRule="auto"/>
        <w:rPr>
          <w:rFonts w:ascii="Arial" w:hAnsi="Arial" w:cs="Arial"/>
          <w:b/>
          <w:bCs/>
          <w:sz w:val="20"/>
          <w:szCs w:val="20"/>
          <w:lang w:val="en" w:eastAsia="en-GB"/>
        </w:rPr>
      </w:pPr>
      <w:r w:rsidRPr="003D1A9E">
        <w:rPr>
          <w:rFonts w:ascii="Arial" w:hAnsi="Arial" w:cs="Arial"/>
          <w:b/>
          <w:bCs/>
          <w:sz w:val="20"/>
          <w:szCs w:val="20"/>
          <w:lang w:val="en" w:eastAsia="en-GB"/>
        </w:rPr>
        <w:t>Intermediaries (IR35) legislation</w:t>
      </w:r>
    </w:p>
    <w:p w:rsidR="0021462E"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IR35 legislation prevents personal service companies (“PSC”) being used to disguise permanent employment. </w:t>
      </w:r>
    </w:p>
    <w:p w:rsidR="0021462E"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The rules apply where the relationship between the worker and the client, would be considered to be an employment relationship if the existence of the PSC was ignored.</w:t>
      </w:r>
    </w:p>
    <w:p w:rsidR="0021462E" w:rsidRDefault="0021462E" w:rsidP="004B5E56">
      <w:pPr>
        <w:spacing w:line="276" w:lineRule="auto"/>
        <w:rPr>
          <w:rFonts w:ascii="Arial" w:hAnsi="Arial" w:cs="Arial"/>
          <w:sz w:val="20"/>
          <w:szCs w:val="20"/>
          <w:lang w:val="en"/>
        </w:rPr>
      </w:pPr>
    </w:p>
    <w:p w:rsidR="0021462E"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If the rules apply, a </w:t>
      </w:r>
      <w:r w:rsidRPr="0002219C">
        <w:rPr>
          <w:rFonts w:ascii="Arial" w:hAnsi="Arial" w:cs="Arial"/>
          <w:b/>
          <w:sz w:val="20"/>
          <w:szCs w:val="20"/>
          <w:lang w:val="en"/>
        </w:rPr>
        <w:t>deemed employment income tax charge</w:t>
      </w:r>
      <w:r w:rsidRPr="0002219C">
        <w:rPr>
          <w:rFonts w:ascii="Arial" w:hAnsi="Arial" w:cs="Arial"/>
          <w:sz w:val="20"/>
          <w:szCs w:val="20"/>
          <w:lang w:val="en"/>
        </w:rPr>
        <w:t xml:space="preserve"> is charged on the PSC.</w:t>
      </w:r>
    </w:p>
    <w:p w:rsidR="0021462E" w:rsidRPr="0002219C" w:rsidRDefault="0021462E" w:rsidP="004B5E56">
      <w:pPr>
        <w:spacing w:line="276" w:lineRule="auto"/>
        <w:rPr>
          <w:rFonts w:ascii="Arial" w:hAnsi="Arial" w:cs="Arial"/>
          <w:sz w:val="20"/>
          <w:szCs w:val="20"/>
          <w:lang w:val="en"/>
        </w:rPr>
      </w:pPr>
    </w:p>
    <w:p w:rsidR="0021462E" w:rsidRPr="0002219C" w:rsidRDefault="0021462E" w:rsidP="004B5E56">
      <w:pPr>
        <w:spacing w:line="276" w:lineRule="auto"/>
        <w:rPr>
          <w:rFonts w:ascii="Arial" w:hAnsi="Arial" w:cs="Arial"/>
          <w:sz w:val="20"/>
          <w:szCs w:val="20"/>
          <w:lang w:val="en"/>
        </w:rPr>
      </w:pPr>
      <w:r w:rsidRPr="0002219C">
        <w:rPr>
          <w:rFonts w:ascii="Arial" w:hAnsi="Arial" w:cs="Arial"/>
          <w:sz w:val="20"/>
          <w:szCs w:val="20"/>
          <w:lang w:val="en"/>
        </w:rPr>
        <w:t xml:space="preserve">The </w:t>
      </w:r>
      <w:r w:rsidRPr="0002219C">
        <w:rPr>
          <w:rFonts w:ascii="Arial" w:hAnsi="Arial" w:cs="Arial"/>
          <w:b/>
          <w:sz w:val="20"/>
          <w:szCs w:val="20"/>
          <w:lang w:val="en"/>
        </w:rPr>
        <w:t>deemed employment income tax charge</w:t>
      </w:r>
      <w:r w:rsidRPr="0002219C">
        <w:rPr>
          <w:rFonts w:ascii="Arial" w:hAnsi="Arial" w:cs="Arial"/>
          <w:sz w:val="20"/>
          <w:szCs w:val="20"/>
          <w:lang w:val="en"/>
        </w:rPr>
        <w:t xml:space="preserve"> is calculated based upon the actual payments made to the PSC by the client.</w:t>
      </w:r>
    </w:p>
    <w:p w:rsidR="0021462E" w:rsidRDefault="0021462E" w:rsidP="004B5E56">
      <w:pPr>
        <w:spacing w:line="276" w:lineRule="auto"/>
        <w:rPr>
          <w:rFonts w:cs="Arial"/>
          <w:b/>
        </w:rPr>
      </w:pPr>
      <w:r>
        <w:rPr>
          <w:rFonts w:cs="Arial"/>
          <w:b/>
        </w:rPr>
        <w:br w:type="page"/>
      </w:r>
    </w:p>
    <w:p w:rsidR="0021462E" w:rsidRPr="008513F1" w:rsidRDefault="0021462E" w:rsidP="004B5E56">
      <w:pPr>
        <w:spacing w:line="276" w:lineRule="auto"/>
        <w:rPr>
          <w:rFonts w:ascii="Arial" w:hAnsi="Arial" w:cs="Arial"/>
          <w:b/>
        </w:rPr>
      </w:pPr>
      <w:r w:rsidRPr="008513F1">
        <w:rPr>
          <w:rFonts w:ascii="Arial" w:hAnsi="Arial" w:cs="Arial"/>
          <w:b/>
        </w:rPr>
        <w:t>Introduction to chargeable gains</w:t>
      </w:r>
    </w:p>
    <w:p w:rsidR="0021462E" w:rsidRPr="008513F1" w:rsidRDefault="0021462E" w:rsidP="004B5E56">
      <w:pPr>
        <w:pStyle w:val="NormalWeb"/>
        <w:numPr>
          <w:ilvl w:val="0"/>
          <w:numId w:val="11"/>
        </w:numPr>
        <w:spacing w:beforeAutospacing="1" w:afterAutospacing="1" w:line="276" w:lineRule="auto"/>
        <w:rPr>
          <w:rFonts w:ascii="Arial" w:hAnsi="Arial" w:cs="Arial"/>
          <w:sz w:val="20"/>
          <w:szCs w:val="20"/>
        </w:rPr>
      </w:pPr>
      <w:r w:rsidRPr="008513F1">
        <w:rPr>
          <w:rFonts w:ascii="Arial" w:hAnsi="Arial" w:cs="Arial"/>
          <w:sz w:val="20"/>
          <w:szCs w:val="20"/>
        </w:rPr>
        <w:t>Individual pays Capital Gains Tax (CGT) on net chargeable gains in a tax year.</w:t>
      </w:r>
      <w:r w:rsidRPr="008513F1">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For companies, chargeable gains are included as income in calculating total profits.</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Individuals receive an annual exempt amount from CGT</w:t>
      </w:r>
      <w:r w:rsidR="007A0075">
        <w:rPr>
          <w:rFonts w:ascii="Arial" w:hAnsi="Arial" w:cs="Arial"/>
          <w:sz w:val="20"/>
          <w:szCs w:val="20"/>
        </w:rPr>
        <w:t xml:space="preserve"> –</w:t>
      </w:r>
      <w:r w:rsidR="00937BC9">
        <w:rPr>
          <w:rFonts w:ascii="Arial" w:hAnsi="Arial" w:cs="Arial"/>
          <w:sz w:val="20"/>
          <w:szCs w:val="20"/>
        </w:rPr>
        <w:t xml:space="preserve"> for</w:t>
      </w:r>
      <w:r w:rsidR="007A0075">
        <w:rPr>
          <w:rFonts w:ascii="Arial" w:hAnsi="Arial" w:cs="Arial"/>
          <w:sz w:val="20"/>
          <w:szCs w:val="20"/>
        </w:rPr>
        <w:t xml:space="preserve"> </w:t>
      </w:r>
      <w:r w:rsidRPr="00652148">
        <w:rPr>
          <w:rFonts w:ascii="Arial" w:hAnsi="Arial" w:cs="Arial"/>
          <w:sz w:val="20"/>
          <w:szCs w:val="20"/>
        </w:rPr>
        <w:t>2016/17</w:t>
      </w:r>
      <w:r w:rsidR="007A0075">
        <w:rPr>
          <w:rFonts w:ascii="Arial" w:hAnsi="Arial" w:cs="Arial"/>
          <w:sz w:val="20"/>
          <w:szCs w:val="20"/>
        </w:rPr>
        <w:t xml:space="preserve"> </w:t>
      </w:r>
      <w:r w:rsidR="00937BC9">
        <w:rPr>
          <w:rFonts w:ascii="Arial" w:hAnsi="Arial" w:cs="Arial"/>
          <w:sz w:val="20"/>
          <w:szCs w:val="20"/>
        </w:rPr>
        <w:t>this is</w:t>
      </w:r>
      <w:r w:rsidRPr="00652148">
        <w:rPr>
          <w:rFonts w:ascii="Arial" w:hAnsi="Arial" w:cs="Arial"/>
          <w:sz w:val="20"/>
          <w:szCs w:val="20"/>
        </w:rPr>
        <w:t xml:space="preserve"> £11,100.</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Gains/losses arise when a chargeable person makes a chargeable disposal of a chargeable asset.</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Chargeable person – individual or company.</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Chargeable disposal – sale, gift or loss/destruction of the whole or part of an asset.</w:t>
      </w:r>
      <w:r w:rsidR="008C53B9">
        <w:rPr>
          <w:rFonts w:ascii="Arial" w:hAnsi="Arial" w:cs="Arial"/>
          <w:sz w:val="20"/>
          <w:szCs w:val="20"/>
        </w:rPr>
        <w:br/>
      </w:r>
      <w:r w:rsidRPr="00652148">
        <w:rPr>
          <w:rFonts w:ascii="Arial" w:hAnsi="Arial" w:cs="Arial"/>
          <w:sz w:val="20"/>
          <w:szCs w:val="20"/>
        </w:rPr>
        <w:t>Exempt disposals – on death and gifts to approved charities.</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 xml:space="preserve">Chargeable asset – all assets unless exempt. Exempt assets </w:t>
      </w:r>
      <w:r w:rsidR="001F2527">
        <w:rPr>
          <w:rFonts w:ascii="Arial" w:hAnsi="Arial" w:cs="Arial"/>
          <w:sz w:val="20"/>
          <w:szCs w:val="20"/>
        </w:rPr>
        <w:t>are</w:t>
      </w:r>
      <w:r w:rsidR="001F2527" w:rsidRPr="00652148">
        <w:rPr>
          <w:rFonts w:ascii="Arial" w:hAnsi="Arial" w:cs="Arial"/>
          <w:sz w:val="20"/>
          <w:szCs w:val="20"/>
        </w:rPr>
        <w:t xml:space="preserve"> </w:t>
      </w:r>
      <w:r w:rsidRPr="00652148">
        <w:rPr>
          <w:rFonts w:ascii="Arial" w:hAnsi="Arial" w:cs="Arial"/>
          <w:sz w:val="20"/>
          <w:szCs w:val="20"/>
        </w:rPr>
        <w:t xml:space="preserve">motor cars </w:t>
      </w:r>
      <w:r w:rsidR="00854AFE">
        <w:rPr>
          <w:rFonts w:ascii="Arial" w:hAnsi="Arial" w:cs="Arial"/>
          <w:sz w:val="20"/>
          <w:szCs w:val="20"/>
        </w:rPr>
        <w:t>and</w:t>
      </w:r>
      <w:r w:rsidR="00854AFE" w:rsidRPr="00652148">
        <w:rPr>
          <w:rFonts w:ascii="Arial" w:hAnsi="Arial" w:cs="Arial"/>
          <w:sz w:val="20"/>
          <w:szCs w:val="20"/>
        </w:rPr>
        <w:t xml:space="preserve"> </w:t>
      </w:r>
      <w:r w:rsidRPr="00652148">
        <w:rPr>
          <w:rFonts w:ascii="Arial" w:hAnsi="Arial" w:cs="Arial"/>
          <w:sz w:val="20"/>
          <w:szCs w:val="20"/>
        </w:rPr>
        <w:t>some chattels.</w:t>
      </w:r>
    </w:p>
    <w:p w:rsidR="0021462E" w:rsidRPr="008513F1" w:rsidRDefault="0021462E" w:rsidP="004B5E56">
      <w:pPr>
        <w:spacing w:line="276" w:lineRule="auto"/>
        <w:rPr>
          <w:rFonts w:ascii="Arial" w:hAnsi="Arial" w:cs="Arial"/>
          <w:b/>
          <w:sz w:val="20"/>
          <w:szCs w:val="20"/>
        </w:rPr>
      </w:pPr>
      <w:r w:rsidRPr="008513F1">
        <w:rPr>
          <w:rFonts w:ascii="Arial" w:hAnsi="Arial" w:cs="Arial"/>
          <w:b/>
          <w:sz w:val="20"/>
          <w:szCs w:val="20"/>
        </w:rPr>
        <w:t>Calculation of capital gains tax</w:t>
      </w:r>
    </w:p>
    <w:p w:rsidR="0021462E" w:rsidRPr="008513F1" w:rsidRDefault="0021462E" w:rsidP="004B5E56">
      <w:pPr>
        <w:spacing w:line="276" w:lineRule="auto"/>
        <w:rPr>
          <w:rFonts w:ascii="Arial" w:hAnsi="Arial" w:cs="Arial"/>
          <w:b/>
          <w:sz w:val="20"/>
          <w:szCs w:val="20"/>
        </w:rPr>
      </w:pPr>
    </w:p>
    <w:p w:rsidR="0021462E" w:rsidRPr="008513F1" w:rsidRDefault="0021462E" w:rsidP="004B5E56">
      <w:pPr>
        <w:spacing w:line="276" w:lineRule="auto"/>
        <w:rPr>
          <w:rFonts w:ascii="Arial" w:hAnsi="Arial" w:cs="Arial"/>
          <w:sz w:val="20"/>
          <w:szCs w:val="20"/>
        </w:rPr>
      </w:pPr>
      <w:r w:rsidRPr="00652148">
        <w:rPr>
          <w:rFonts w:ascii="Arial" w:hAnsi="Arial" w:cs="Arial"/>
          <w:sz w:val="20"/>
          <w:szCs w:val="20"/>
        </w:rPr>
        <w:t>Net chargeable gains – total gains in the tax year after netting off any current year or brought forward</w:t>
      </w:r>
      <w:r w:rsidRPr="008513F1">
        <w:rPr>
          <w:rFonts w:ascii="Arial" w:hAnsi="Arial" w:cs="Arial"/>
          <w:sz w:val="20"/>
          <w:szCs w:val="20"/>
        </w:rPr>
        <w:t xml:space="preserve"> losses and the annual exempt amount.</w:t>
      </w:r>
      <w:r w:rsidRPr="008513F1">
        <w:rPr>
          <w:rFonts w:ascii="Arial" w:hAnsi="Arial" w:cs="Arial"/>
          <w:sz w:val="20"/>
          <w:szCs w:val="20"/>
        </w:rPr>
        <w:br/>
      </w:r>
    </w:p>
    <w:p w:rsidR="0021462E" w:rsidRPr="008513F1" w:rsidRDefault="0021462E" w:rsidP="004B5E56">
      <w:pPr>
        <w:pStyle w:val="NormalWeb"/>
        <w:spacing w:line="276" w:lineRule="auto"/>
        <w:rPr>
          <w:rFonts w:ascii="Arial" w:hAnsi="Arial" w:cs="Arial"/>
          <w:b/>
          <w:sz w:val="20"/>
          <w:szCs w:val="20"/>
        </w:rPr>
      </w:pPr>
      <w:r w:rsidRPr="008513F1">
        <w:rPr>
          <w:rFonts w:ascii="Arial" w:hAnsi="Arial" w:cs="Arial"/>
          <w:b/>
          <w:sz w:val="20"/>
          <w:szCs w:val="20"/>
        </w:rPr>
        <w:t>Annual exempt amount (AE)</w:t>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For individuals only.</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AE cannot be carried forward or carried back.</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Current year losses must be netted off against current year gains before AE. This means AE can be wasted.</w:t>
      </w:r>
      <w:r w:rsidRPr="00652148">
        <w:rPr>
          <w:rFonts w:ascii="Arial" w:hAnsi="Arial" w:cs="Arial"/>
          <w:sz w:val="20"/>
          <w:szCs w:val="20"/>
        </w:rPr>
        <w:br/>
      </w:r>
    </w:p>
    <w:p w:rsidR="0021462E" w:rsidRPr="00652148" w:rsidRDefault="0021462E" w:rsidP="004B5E56">
      <w:pPr>
        <w:pStyle w:val="NormalWeb"/>
        <w:numPr>
          <w:ilvl w:val="0"/>
          <w:numId w:val="11"/>
        </w:numPr>
        <w:spacing w:beforeAutospacing="1" w:afterAutospacing="1" w:line="276" w:lineRule="auto"/>
        <w:rPr>
          <w:rFonts w:ascii="Arial" w:hAnsi="Arial" w:cs="Arial"/>
          <w:sz w:val="20"/>
          <w:szCs w:val="20"/>
        </w:rPr>
      </w:pPr>
      <w:r w:rsidRPr="00652148">
        <w:rPr>
          <w:rFonts w:ascii="Arial" w:hAnsi="Arial" w:cs="Arial"/>
          <w:sz w:val="20"/>
          <w:szCs w:val="20"/>
        </w:rPr>
        <w:t xml:space="preserve">Brought forward capital losses are set off against current year gains after AE </w:t>
      </w:r>
      <w:r w:rsidR="00B50789">
        <w:rPr>
          <w:rFonts w:ascii="Arial" w:hAnsi="Arial" w:cs="Arial"/>
          <w:sz w:val="20"/>
          <w:szCs w:val="20"/>
        </w:rPr>
        <w:t>s</w:t>
      </w:r>
      <w:r w:rsidRPr="00652148">
        <w:rPr>
          <w:rFonts w:ascii="Arial" w:hAnsi="Arial" w:cs="Arial"/>
          <w:sz w:val="20"/>
          <w:szCs w:val="20"/>
        </w:rPr>
        <w:t>o AE is not wasted.</w:t>
      </w:r>
    </w:p>
    <w:p w:rsidR="0021462E" w:rsidRPr="00DD0413" w:rsidRDefault="0021462E" w:rsidP="004B5E56">
      <w:pPr>
        <w:spacing w:line="276" w:lineRule="auto"/>
      </w:pPr>
    </w:p>
    <w:p w:rsidR="0021462E" w:rsidRDefault="0021462E" w:rsidP="004B5E56">
      <w:pPr>
        <w:spacing w:line="276" w:lineRule="auto"/>
        <w:rPr>
          <w:rFonts w:cs="Arial"/>
          <w:b/>
        </w:rPr>
      </w:pPr>
      <w:r>
        <w:rPr>
          <w:rFonts w:cs="Arial"/>
          <w:b/>
        </w:rPr>
        <w:br w:type="page"/>
      </w:r>
    </w:p>
    <w:p w:rsidR="0021462E" w:rsidRPr="00CB6C9E" w:rsidRDefault="0021462E" w:rsidP="004B5E56">
      <w:pPr>
        <w:spacing w:line="276" w:lineRule="auto"/>
        <w:rPr>
          <w:rFonts w:ascii="Arial" w:hAnsi="Arial" w:cs="Arial"/>
          <w:b/>
        </w:rPr>
      </w:pPr>
      <w:r w:rsidRPr="00CB6C9E">
        <w:rPr>
          <w:rFonts w:ascii="Arial" w:hAnsi="Arial" w:cs="Arial"/>
          <w:b/>
        </w:rPr>
        <w:t>Calculation of gains and losses for individuals</w:t>
      </w:r>
    </w:p>
    <w:tbl>
      <w:tblPr>
        <w:tblW w:w="0" w:type="auto"/>
        <w:tblCellSpacing w:w="0" w:type="dxa"/>
        <w:tblCellMar>
          <w:left w:w="0" w:type="dxa"/>
          <w:right w:w="0" w:type="dxa"/>
        </w:tblCellMar>
        <w:tblLook w:val="04A0" w:firstRow="1" w:lastRow="0" w:firstColumn="1" w:lastColumn="0" w:noHBand="0" w:noVBand="1"/>
      </w:tblPr>
      <w:tblGrid>
        <w:gridCol w:w="5821"/>
        <w:gridCol w:w="1533"/>
        <w:gridCol w:w="1672"/>
      </w:tblGrid>
      <w:tr w:rsidR="0021462E" w:rsidRPr="00CB6C9E" w:rsidTr="000F4D8D">
        <w:trPr>
          <w:trHeight w:val="340"/>
          <w:tblCellSpacing w:w="0" w:type="dxa"/>
        </w:trPr>
        <w:tc>
          <w:tcPr>
            <w:tcW w:w="5821" w:type="dxa"/>
            <w:vAlign w:val="center"/>
            <w:hideMark/>
          </w:tcPr>
          <w:p w:rsidR="004B5E56" w:rsidRDefault="004B5E56" w:rsidP="004B5E56">
            <w:pPr>
              <w:spacing w:before="100" w:beforeAutospacing="1" w:after="100" w:afterAutospacing="1" w:line="276" w:lineRule="auto"/>
              <w:rPr>
                <w:rFonts w:ascii="Arial" w:hAnsi="Arial" w:cs="Arial"/>
                <w:b/>
                <w:sz w:val="20"/>
                <w:szCs w:val="20"/>
                <w:lang w:eastAsia="en-GB"/>
              </w:rPr>
            </w:pPr>
          </w:p>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b/>
                <w:sz w:val="20"/>
                <w:szCs w:val="20"/>
                <w:lang w:eastAsia="en-GB"/>
              </w:rPr>
              <w:t>Pro</w:t>
            </w:r>
            <w:r w:rsidR="00532720">
              <w:rPr>
                <w:rFonts w:ascii="Arial" w:hAnsi="Arial" w:cs="Arial"/>
                <w:b/>
                <w:sz w:val="20"/>
                <w:szCs w:val="20"/>
                <w:lang w:eastAsia="en-GB"/>
              </w:rPr>
              <w:t xml:space="preserve"> </w:t>
            </w:r>
            <w:r w:rsidRPr="00CB6C9E">
              <w:rPr>
                <w:rFonts w:ascii="Arial" w:hAnsi="Arial" w:cs="Arial"/>
                <w:b/>
                <w:sz w:val="20"/>
                <w:szCs w:val="20"/>
                <w:lang w:eastAsia="en-GB"/>
              </w:rPr>
              <w:t>forma computation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Consideration received</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Less    Incidental costs of sale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w:t>
            </w:r>
            <w:r w:rsidRPr="00CB6C9E">
              <w:rPr>
                <w:rFonts w:ascii="Arial" w:hAnsi="Arial" w:cs="Arial"/>
                <w:sz w:val="20"/>
                <w:szCs w:val="20"/>
                <w:lang w:eastAsia="en-GB"/>
              </w:rPr>
              <w:br/>
              <w:t xml:space="preserve">____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Net sale proceeds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NSP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Less      Allowable expenditure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Acquisition cost</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Incidental costs of acquisition</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X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Enhancement expenditure</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w:t>
            </w:r>
            <w:r w:rsidRPr="00CB6C9E">
              <w:rPr>
                <w:rFonts w:ascii="Arial" w:hAnsi="Arial" w:cs="Arial"/>
                <w:sz w:val="20"/>
                <w:szCs w:val="20"/>
                <w:lang w:eastAsia="en-GB"/>
              </w:rPr>
              <w:br/>
              <w:t xml:space="preserve">___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(Cost) </w:t>
            </w:r>
            <w:r w:rsidRPr="00CB6C9E">
              <w:rPr>
                <w:rFonts w:ascii="Arial" w:hAnsi="Arial" w:cs="Arial"/>
                <w:sz w:val="20"/>
                <w:szCs w:val="20"/>
                <w:lang w:eastAsia="en-GB"/>
              </w:rPr>
              <w:br/>
              <w:t xml:space="preserve">_____ </w:t>
            </w:r>
          </w:p>
        </w:tc>
      </w:tr>
      <w:tr w:rsidR="0021462E" w:rsidRPr="00CB6C9E" w:rsidTr="000F4D8D">
        <w:trPr>
          <w:trHeight w:val="340"/>
          <w:tblCellSpacing w:w="0" w:type="dxa"/>
        </w:trPr>
        <w:tc>
          <w:tcPr>
            <w:tcW w:w="5821" w:type="dxa"/>
            <w:vAlign w:val="center"/>
            <w:hideMark/>
          </w:tcPr>
          <w:p w:rsidR="0021462E" w:rsidRPr="00CB6C9E" w:rsidRDefault="0021462E" w:rsidP="004B5E56">
            <w:pPr>
              <w:spacing w:before="100" w:beforeAutospacing="1" w:after="100" w:afterAutospacing="1" w:line="276" w:lineRule="auto"/>
              <w:rPr>
                <w:rFonts w:ascii="Arial" w:hAnsi="Arial" w:cs="Arial"/>
                <w:sz w:val="20"/>
                <w:szCs w:val="20"/>
                <w:lang w:eastAsia="en-GB"/>
              </w:rPr>
            </w:pPr>
            <w:r w:rsidRPr="00CB6C9E">
              <w:rPr>
                <w:rFonts w:ascii="Arial" w:hAnsi="Arial" w:cs="Arial"/>
                <w:sz w:val="20"/>
                <w:szCs w:val="20"/>
                <w:lang w:eastAsia="en-GB"/>
              </w:rPr>
              <w:t xml:space="preserve">Gain/(Loss) </w:t>
            </w:r>
          </w:p>
        </w:tc>
        <w:tc>
          <w:tcPr>
            <w:tcW w:w="1533"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 xml:space="preserve">  </w:t>
            </w:r>
          </w:p>
        </w:tc>
        <w:tc>
          <w:tcPr>
            <w:tcW w:w="1672" w:type="dxa"/>
            <w:vAlign w:val="center"/>
            <w:hideMark/>
          </w:tcPr>
          <w:p w:rsidR="0021462E" w:rsidRPr="00CB6C9E" w:rsidRDefault="0021462E" w:rsidP="004B5E56">
            <w:pPr>
              <w:spacing w:before="100" w:beforeAutospacing="1" w:after="100" w:afterAutospacing="1" w:line="276" w:lineRule="auto"/>
              <w:jc w:val="center"/>
              <w:rPr>
                <w:rFonts w:ascii="Arial" w:hAnsi="Arial" w:cs="Arial"/>
                <w:sz w:val="20"/>
                <w:szCs w:val="20"/>
                <w:lang w:eastAsia="en-GB"/>
              </w:rPr>
            </w:pPr>
            <w:r w:rsidRPr="00CB6C9E">
              <w:rPr>
                <w:rFonts w:ascii="Arial" w:hAnsi="Arial" w:cs="Arial"/>
                <w:sz w:val="20"/>
                <w:szCs w:val="20"/>
                <w:lang w:eastAsia="en-GB"/>
              </w:rPr>
              <w:t>X/(X)</w:t>
            </w:r>
            <w:r w:rsidRPr="00CB6C9E">
              <w:rPr>
                <w:rFonts w:ascii="Arial" w:hAnsi="Arial" w:cs="Arial"/>
                <w:sz w:val="20"/>
                <w:szCs w:val="20"/>
                <w:lang w:eastAsia="en-GB"/>
              </w:rPr>
              <w:br/>
              <w:t xml:space="preserve">===== </w:t>
            </w:r>
          </w:p>
        </w:tc>
      </w:tr>
    </w:tbl>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CB6C9E">
        <w:rPr>
          <w:rFonts w:cs="Arial"/>
          <w:lang w:eastAsia="en-GB"/>
        </w:rPr>
        <w:t xml:space="preserve">Consideration received is usually sales proceeds, but market value will be used instead of actual consideration where the transaction is a gift or between connected persons. </w:t>
      </w:r>
      <w:r w:rsidRPr="00CB6C9E">
        <w:rPr>
          <w:rFonts w:cs="Arial"/>
          <w:lang w:eastAsia="en-GB"/>
        </w:rPr>
        <w:br/>
      </w:r>
    </w:p>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D16E74">
        <w:rPr>
          <w:rFonts w:cs="Arial"/>
          <w:lang w:eastAsia="en-GB"/>
        </w:rPr>
        <w:t>An individual is connected with their spouse, lineal relatives (and their spouses) and spouse's relatives (and their spouses).</w:t>
      </w:r>
      <w:r w:rsidRPr="00D16E74">
        <w:rPr>
          <w:rFonts w:cs="Arial"/>
          <w:lang w:eastAsia="en-GB"/>
        </w:rPr>
        <w:br/>
      </w:r>
    </w:p>
    <w:p w:rsidR="0021462E" w:rsidRPr="00D16E74" w:rsidRDefault="0021462E" w:rsidP="004B5E56">
      <w:pPr>
        <w:pStyle w:val="ListParagraph"/>
        <w:numPr>
          <w:ilvl w:val="0"/>
          <w:numId w:val="17"/>
        </w:numPr>
        <w:spacing w:before="100" w:beforeAutospacing="1" w:after="100" w:afterAutospacing="1" w:line="276" w:lineRule="auto"/>
        <w:rPr>
          <w:rFonts w:cs="Arial"/>
          <w:lang w:eastAsia="en-GB"/>
        </w:rPr>
      </w:pPr>
      <w:r w:rsidRPr="00D16E74">
        <w:rPr>
          <w:rFonts w:cs="Arial"/>
          <w:lang w:eastAsia="en-GB"/>
        </w:rPr>
        <w:t>Husband and wife/civil partner transfers – nil gain nil loss. Tax planning opportunity.</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 xml:space="preserve">Part disposals – the cost allocated to the disposal = Cost </w:t>
      </w:r>
      <w:r w:rsidR="002650A4">
        <w:rPr>
          <w:rFonts w:ascii="Arial" w:hAnsi="Arial" w:cs="Arial"/>
          <w:sz w:val="20"/>
          <w:szCs w:val="20"/>
          <w:lang w:eastAsia="en-GB"/>
        </w:rPr>
        <w:t>×</w:t>
      </w:r>
      <w:r w:rsidR="002650A4" w:rsidRPr="00D16E74">
        <w:rPr>
          <w:rFonts w:ascii="Arial" w:hAnsi="Arial" w:cs="Arial"/>
          <w:sz w:val="20"/>
          <w:szCs w:val="20"/>
          <w:lang w:eastAsia="en-GB"/>
        </w:rPr>
        <w:t xml:space="preserve"> </w:t>
      </w:r>
      <w:r w:rsidRPr="00D16E74">
        <w:rPr>
          <w:rFonts w:ascii="Arial" w:hAnsi="Arial" w:cs="Arial"/>
          <w:sz w:val="20"/>
          <w:szCs w:val="20"/>
          <w:lang w:eastAsia="en-GB"/>
        </w:rPr>
        <w:t>(A</w:t>
      </w:r>
      <w:proofErr w:type="gramStart"/>
      <w:r w:rsidRPr="00D16E74">
        <w:rPr>
          <w:rFonts w:ascii="Arial" w:hAnsi="Arial" w:cs="Arial"/>
          <w:sz w:val="20"/>
          <w:szCs w:val="20"/>
          <w:lang w:eastAsia="en-GB"/>
        </w:rPr>
        <w:t>/(</w:t>
      </w:r>
      <w:proofErr w:type="gramEnd"/>
      <w:r w:rsidRPr="00D16E74">
        <w:rPr>
          <w:rFonts w:ascii="Arial" w:hAnsi="Arial" w:cs="Arial"/>
          <w:sz w:val="20"/>
          <w:szCs w:val="20"/>
          <w:lang w:eastAsia="en-GB"/>
        </w:rPr>
        <w:t xml:space="preserve">A+B))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A = consideration received on part disposal</w:t>
      </w:r>
      <w:r w:rsidRPr="00D16E74">
        <w:rPr>
          <w:rFonts w:ascii="Arial" w:hAnsi="Arial" w:cs="Arial"/>
          <w:sz w:val="20"/>
          <w:szCs w:val="20"/>
          <w:lang w:eastAsia="en-GB"/>
        </w:rPr>
        <w:tab/>
        <w:t xml:space="preserve">B = market value of the remainder of the asset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sz w:val="20"/>
          <w:szCs w:val="20"/>
          <w:lang w:eastAsia="en-GB"/>
        </w:rPr>
        <w:t>Chattels - tangible moveable object. Two types:</w:t>
      </w:r>
    </w:p>
    <w:p w:rsidR="0021462E" w:rsidRPr="007102BD" w:rsidRDefault="0021462E" w:rsidP="007102BD">
      <w:pPr>
        <w:pStyle w:val="ListParagraph"/>
        <w:numPr>
          <w:ilvl w:val="0"/>
          <w:numId w:val="18"/>
        </w:numPr>
        <w:spacing w:before="100" w:beforeAutospacing="1" w:after="100" w:afterAutospacing="1" w:line="276" w:lineRule="auto"/>
        <w:rPr>
          <w:rFonts w:cs="Arial"/>
          <w:lang w:eastAsia="en-GB"/>
        </w:rPr>
      </w:pPr>
      <w:r w:rsidRPr="007102BD">
        <w:rPr>
          <w:rFonts w:cs="Arial"/>
          <w:lang w:eastAsia="en-GB"/>
        </w:rPr>
        <w:t>Wasting – expected life of 50 years or less (e.g. racehorse or boat). CGT exempt.</w:t>
      </w:r>
      <w:r w:rsidRPr="007102BD">
        <w:rPr>
          <w:rFonts w:cs="Arial"/>
          <w:lang w:eastAsia="en-GB"/>
        </w:rPr>
        <w:br/>
        <w:t xml:space="preserve">Non-wasting – expected life greater than 50 years (e.g. antiques or jewellery). </w:t>
      </w:r>
    </w:p>
    <w:p w:rsidR="0021462E" w:rsidRPr="00D16E74" w:rsidRDefault="0021462E" w:rsidP="004B5E56">
      <w:pPr>
        <w:spacing w:before="100" w:beforeAutospacing="1" w:after="100" w:afterAutospacing="1" w:line="276" w:lineRule="auto"/>
        <w:rPr>
          <w:rFonts w:ascii="Arial" w:hAnsi="Arial" w:cs="Arial"/>
          <w:sz w:val="20"/>
          <w:szCs w:val="20"/>
          <w:lang w:eastAsia="en-GB"/>
        </w:rPr>
      </w:pPr>
      <w:r w:rsidRPr="00D16E74">
        <w:rPr>
          <w:rFonts w:ascii="Arial" w:hAnsi="Arial" w:cs="Arial"/>
          <w:b/>
          <w:sz w:val="20"/>
          <w:szCs w:val="20"/>
          <w:lang w:eastAsia="en-GB"/>
        </w:rPr>
        <w:t>CGT</w:t>
      </w:r>
      <w:r>
        <w:rPr>
          <w:rFonts w:ascii="Arial" w:hAnsi="Arial" w:cs="Arial"/>
          <w:b/>
          <w:sz w:val="20"/>
          <w:szCs w:val="20"/>
          <w:lang w:eastAsia="en-GB"/>
        </w:rPr>
        <w:t xml:space="preserve">, </w:t>
      </w:r>
      <w:r w:rsidRPr="00D16E74">
        <w:rPr>
          <w:rFonts w:ascii="Arial" w:hAnsi="Arial" w:cs="Arial"/>
          <w:b/>
          <w:sz w:val="20"/>
          <w:szCs w:val="20"/>
          <w:lang w:eastAsia="en-GB"/>
        </w:rPr>
        <w:t xml:space="preserve">£6,000 rule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3540"/>
        <w:gridCol w:w="3540"/>
      </w:tblGrid>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jc w:val="right"/>
              <w:rPr>
                <w:rFonts w:ascii="Arial" w:hAnsi="Arial" w:cs="Arial"/>
                <w:sz w:val="20"/>
                <w:szCs w:val="20"/>
                <w:lang w:eastAsia="en-GB"/>
              </w:rPr>
            </w:pPr>
            <w:r w:rsidRPr="00CB6C9E">
              <w:rPr>
                <w:rFonts w:ascii="Arial" w:hAnsi="Arial" w:cs="Arial"/>
                <w:sz w:val="20"/>
                <w:szCs w:val="20"/>
                <w:lang w:eastAsia="en-GB"/>
              </w:rPr>
              <w:t>Buy</w:t>
            </w:r>
          </w:p>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Sell</w:t>
            </w:r>
          </w:p>
        </w:tc>
        <w:tc>
          <w:tcPr>
            <w:tcW w:w="3540" w:type="dxa"/>
            <w:tcBorders>
              <w:top w:val="outset" w:sz="6" w:space="0" w:color="auto"/>
              <w:left w:val="outset" w:sz="6" w:space="0" w:color="auto"/>
              <w:bottom w:val="outset" w:sz="6" w:space="0" w:color="auto"/>
              <w:right w:val="outset" w:sz="6" w:space="0" w:color="auto"/>
            </w:tcBorders>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£6,000 or less</w:t>
            </w:r>
          </w:p>
        </w:tc>
        <w:tc>
          <w:tcPr>
            <w:tcW w:w="3540" w:type="dxa"/>
            <w:tcBorders>
              <w:top w:val="outset" w:sz="6" w:space="0" w:color="auto"/>
              <w:left w:val="outset" w:sz="6" w:space="0" w:color="auto"/>
              <w:bottom w:val="outset" w:sz="6" w:space="0" w:color="auto"/>
              <w:right w:val="outset" w:sz="6" w:space="0" w:color="auto"/>
            </w:tcBorders>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More than £6,000</w:t>
            </w:r>
          </w:p>
        </w:tc>
      </w:tr>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Less than £6,000</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Exempt</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7"/>
              <w:rPr>
                <w:rFonts w:ascii="Arial" w:hAnsi="Arial" w:cs="Arial"/>
                <w:sz w:val="20"/>
                <w:szCs w:val="20"/>
                <w:lang w:eastAsia="en-GB"/>
              </w:rPr>
            </w:pPr>
            <w:r w:rsidRPr="00CB6C9E">
              <w:rPr>
                <w:rFonts w:ascii="Arial" w:hAnsi="Arial" w:cs="Arial"/>
                <w:sz w:val="20"/>
                <w:szCs w:val="20"/>
                <w:lang w:eastAsia="en-GB"/>
              </w:rPr>
              <w:t>Allowable loss but proceeds are deemed = £6,000</w:t>
            </w:r>
          </w:p>
        </w:tc>
      </w:tr>
      <w:tr w:rsidR="0021462E" w:rsidRPr="00CB6C9E" w:rsidTr="000F4D8D">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firstLine="127"/>
              <w:rPr>
                <w:rFonts w:ascii="Arial" w:hAnsi="Arial" w:cs="Arial"/>
                <w:sz w:val="20"/>
                <w:szCs w:val="20"/>
                <w:lang w:eastAsia="en-GB"/>
              </w:rPr>
            </w:pPr>
            <w:r w:rsidRPr="00CB6C9E">
              <w:rPr>
                <w:rFonts w:ascii="Arial" w:hAnsi="Arial" w:cs="Arial"/>
                <w:sz w:val="20"/>
                <w:szCs w:val="20"/>
                <w:lang w:eastAsia="en-GB"/>
              </w:rPr>
              <w:t>More than £6,000</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3"/>
              <w:rPr>
                <w:rFonts w:ascii="Arial" w:hAnsi="Arial" w:cs="Arial"/>
                <w:sz w:val="20"/>
                <w:szCs w:val="20"/>
                <w:lang w:eastAsia="en-GB"/>
              </w:rPr>
            </w:pPr>
            <w:r w:rsidRPr="00CB6C9E">
              <w:rPr>
                <w:rFonts w:ascii="Arial" w:hAnsi="Arial" w:cs="Arial"/>
                <w:sz w:val="20"/>
                <w:szCs w:val="20"/>
                <w:lang w:eastAsia="en-GB"/>
              </w:rPr>
              <w:t>Normal calculation</w:t>
            </w:r>
            <w:r w:rsidRPr="00CB6C9E">
              <w:rPr>
                <w:rFonts w:ascii="Arial" w:hAnsi="Arial" w:cs="Arial"/>
                <w:sz w:val="20"/>
                <w:szCs w:val="20"/>
                <w:lang w:eastAsia="en-GB"/>
              </w:rPr>
              <w:br/>
              <w:t xml:space="preserve">of the gain, then compare </w:t>
            </w:r>
            <w:r>
              <w:rPr>
                <w:rFonts w:ascii="Arial" w:hAnsi="Arial" w:cs="Arial"/>
                <w:sz w:val="20"/>
                <w:szCs w:val="20"/>
                <w:lang w:eastAsia="en-GB"/>
              </w:rPr>
              <w:t>with</w:t>
            </w:r>
            <w:r w:rsidRPr="00CB6C9E">
              <w:rPr>
                <w:rFonts w:ascii="Arial" w:hAnsi="Arial" w:cs="Arial"/>
                <w:sz w:val="20"/>
                <w:szCs w:val="20"/>
                <w:lang w:eastAsia="en-GB"/>
              </w:rPr>
              <w:t xml:space="preserve"> 5/3(gross proceeds - £6,000)</w:t>
            </w:r>
            <w:r w:rsidRPr="00CB6C9E">
              <w:rPr>
                <w:rFonts w:ascii="Arial" w:hAnsi="Arial" w:cs="Arial"/>
                <w:sz w:val="20"/>
                <w:szCs w:val="20"/>
                <w:lang w:eastAsia="en-GB"/>
              </w:rPr>
              <w:br/>
              <w:t>- Take the lower gain</w:t>
            </w:r>
          </w:p>
        </w:tc>
        <w:tc>
          <w:tcPr>
            <w:tcW w:w="3540" w:type="dxa"/>
            <w:tcBorders>
              <w:top w:val="outset" w:sz="6" w:space="0" w:color="auto"/>
              <w:left w:val="outset" w:sz="6" w:space="0" w:color="auto"/>
              <w:bottom w:val="outset" w:sz="6" w:space="0" w:color="auto"/>
              <w:right w:val="outset" w:sz="6" w:space="0" w:color="auto"/>
            </w:tcBorders>
            <w:vAlign w:val="center"/>
            <w:hideMark/>
          </w:tcPr>
          <w:p w:rsidR="0021462E" w:rsidRPr="00CB6C9E" w:rsidRDefault="0021462E" w:rsidP="004B5E56">
            <w:pPr>
              <w:spacing w:before="100" w:beforeAutospacing="1" w:after="100" w:afterAutospacing="1" w:line="276" w:lineRule="auto"/>
              <w:ind w:left="153"/>
              <w:rPr>
                <w:rFonts w:ascii="Arial" w:hAnsi="Arial" w:cs="Arial"/>
                <w:sz w:val="20"/>
                <w:szCs w:val="20"/>
                <w:lang w:eastAsia="en-GB"/>
              </w:rPr>
            </w:pPr>
            <w:r w:rsidRPr="00CB6C9E">
              <w:rPr>
                <w:rFonts w:ascii="Arial" w:hAnsi="Arial" w:cs="Arial"/>
                <w:sz w:val="20"/>
                <w:szCs w:val="20"/>
                <w:lang w:eastAsia="en-GB"/>
              </w:rPr>
              <w:t>Chargeable in full</w:t>
            </w:r>
          </w:p>
        </w:tc>
      </w:tr>
    </w:tbl>
    <w:p w:rsidR="004B5E56" w:rsidRDefault="004B5E56" w:rsidP="004B5E56">
      <w:pPr>
        <w:spacing w:line="276" w:lineRule="auto"/>
        <w:rPr>
          <w:rFonts w:ascii="Arial" w:hAnsi="Arial" w:cs="Arial"/>
          <w:b/>
        </w:rPr>
      </w:pPr>
    </w:p>
    <w:p w:rsidR="004B5E56" w:rsidRDefault="004B5E56">
      <w:pPr>
        <w:rPr>
          <w:rFonts w:ascii="Arial" w:hAnsi="Arial" w:cs="Arial"/>
          <w:b/>
        </w:rPr>
      </w:pPr>
      <w:r>
        <w:rPr>
          <w:rFonts w:ascii="Arial" w:hAnsi="Arial" w:cs="Arial"/>
          <w:b/>
        </w:rPr>
        <w:br w:type="page"/>
      </w:r>
    </w:p>
    <w:p w:rsidR="0021462E" w:rsidRPr="009966F0" w:rsidRDefault="0021462E" w:rsidP="004B5E56">
      <w:pPr>
        <w:spacing w:line="276" w:lineRule="auto"/>
        <w:rPr>
          <w:rFonts w:ascii="Arial" w:hAnsi="Arial" w:cs="Arial"/>
          <w:b/>
          <w:lang w:eastAsia="en-GB"/>
        </w:rPr>
      </w:pPr>
      <w:r w:rsidRPr="009966F0">
        <w:rPr>
          <w:rFonts w:ascii="Arial" w:hAnsi="Arial" w:cs="Arial"/>
          <w:b/>
        </w:rPr>
        <w:t>Shares and securities – disposals by individuals</w:t>
      </w:r>
      <w:r w:rsidRPr="009966F0">
        <w:rPr>
          <w:rFonts w:ascii="Arial" w:hAnsi="Arial" w:cs="Arial"/>
          <w:b/>
          <w:lang w:eastAsia="en-GB"/>
        </w:rPr>
        <w:br/>
      </w:r>
    </w:p>
    <w:p w:rsidR="0021462E" w:rsidRPr="009966F0" w:rsidRDefault="0021462E" w:rsidP="004B5E56">
      <w:pPr>
        <w:spacing w:line="276" w:lineRule="auto"/>
        <w:rPr>
          <w:rFonts w:ascii="Arial" w:hAnsi="Arial" w:cs="Arial"/>
          <w:b/>
          <w:sz w:val="20"/>
          <w:szCs w:val="20"/>
          <w:lang w:eastAsia="en-GB"/>
        </w:rPr>
      </w:pPr>
      <w:r w:rsidRPr="009966F0">
        <w:rPr>
          <w:rFonts w:ascii="Arial" w:hAnsi="Arial" w:cs="Arial"/>
          <w:b/>
          <w:sz w:val="20"/>
          <w:szCs w:val="20"/>
          <w:lang w:eastAsia="en-GB"/>
        </w:rPr>
        <w:t>CGT on shares and securities</w:t>
      </w:r>
    </w:p>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Disposal of shares and securities </w:t>
      </w:r>
      <w:r w:rsidRPr="004D6FDA">
        <w:rPr>
          <w:rFonts w:ascii="Arial" w:hAnsi="Arial" w:cs="Arial"/>
          <w:sz w:val="20"/>
          <w:szCs w:val="20"/>
          <w:lang w:eastAsia="en-GB"/>
        </w:rPr>
        <w:t>are subject to CGT except for listed government securities (gilt-edged securities or ‘gilts'), qualifying corporate bonds (e.g. company loan notes/debentures) and shares held in an Individual Savings Account (ISA).</w:t>
      </w:r>
      <w:r w:rsidRPr="009966F0">
        <w:rPr>
          <w:rFonts w:ascii="Arial" w:hAnsi="Arial" w:cs="Arial"/>
          <w:sz w:val="20"/>
          <w:szCs w:val="20"/>
          <w:lang w:eastAsia="en-GB"/>
        </w:rPr>
        <w:t xml:space="preserve"> </w:t>
      </w:r>
    </w:p>
    <w:tbl>
      <w:tblPr>
        <w:tblW w:w="0" w:type="auto"/>
        <w:tblCellSpacing w:w="0" w:type="dxa"/>
        <w:tblCellMar>
          <w:left w:w="0" w:type="dxa"/>
          <w:right w:w="0" w:type="dxa"/>
        </w:tblCellMar>
        <w:tblLook w:val="04A0" w:firstRow="1" w:lastRow="0" w:firstColumn="1" w:lastColumn="0" w:noHBand="0" w:noVBand="1"/>
      </w:tblPr>
      <w:tblGrid>
        <w:gridCol w:w="2520"/>
        <w:gridCol w:w="1065"/>
        <w:gridCol w:w="990"/>
        <w:gridCol w:w="1410"/>
      </w:tblGrid>
      <w:tr w:rsidR="0021462E" w:rsidRPr="009966F0" w:rsidTr="000F4D8D">
        <w:trPr>
          <w:tblCellSpacing w:w="0" w:type="dxa"/>
        </w:trPr>
        <w:tc>
          <w:tcPr>
            <w:tcW w:w="252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1065"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99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c>
          <w:tcPr>
            <w:tcW w:w="1410" w:type="dxa"/>
            <w:hideMark/>
          </w:tcPr>
          <w:p w:rsidR="0021462E" w:rsidRPr="009966F0" w:rsidRDefault="0021462E" w:rsidP="004B5E56">
            <w:pPr>
              <w:spacing w:before="100" w:beforeAutospacing="1" w:after="100" w:afterAutospacing="1" w:line="276" w:lineRule="auto"/>
              <w:rPr>
                <w:rFonts w:ascii="Arial" w:hAnsi="Arial" w:cs="Arial"/>
                <w:sz w:val="20"/>
                <w:szCs w:val="20"/>
                <w:lang w:eastAsia="en-GB"/>
              </w:rPr>
            </w:pPr>
          </w:p>
        </w:tc>
      </w:tr>
    </w:tbl>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b/>
          <w:sz w:val="20"/>
          <w:szCs w:val="20"/>
          <w:lang w:eastAsia="en-GB"/>
        </w:rPr>
        <w:t>The identification rules</w:t>
      </w:r>
    </w:p>
    <w:p w:rsidR="0021462E" w:rsidRPr="004D6FDA"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Used to determine which shares have been sold and so what acquisition cost can be </w:t>
      </w:r>
      <w:r>
        <w:rPr>
          <w:rFonts w:ascii="Arial" w:hAnsi="Arial" w:cs="Arial"/>
          <w:sz w:val="20"/>
          <w:szCs w:val="20"/>
          <w:lang w:eastAsia="en-GB"/>
        </w:rPr>
        <w:t>deducted from the sale proceeds</w:t>
      </w:r>
      <w:r w:rsidRPr="009966F0">
        <w:rPr>
          <w:rFonts w:ascii="Arial" w:hAnsi="Arial" w:cs="Arial"/>
          <w:sz w:val="20"/>
          <w:szCs w:val="20"/>
          <w:lang w:eastAsia="en-GB"/>
        </w:rPr>
        <w:t xml:space="preserve"> (e.g. </w:t>
      </w:r>
      <w:r w:rsidRPr="004D6FDA">
        <w:rPr>
          <w:rFonts w:ascii="Arial" w:hAnsi="Arial" w:cs="Arial"/>
          <w:sz w:val="20"/>
          <w:szCs w:val="20"/>
          <w:lang w:eastAsia="en-GB"/>
        </w:rPr>
        <w:t>match the disposal and acquisition).</w:t>
      </w:r>
      <w:r>
        <w:rPr>
          <w:rFonts w:ascii="Arial" w:hAnsi="Arial" w:cs="Arial"/>
          <w:sz w:val="20"/>
          <w:szCs w:val="20"/>
          <w:lang w:eastAsia="en-GB"/>
        </w:rPr>
        <w:t xml:space="preserve"> </w:t>
      </w:r>
      <w:r>
        <w:rPr>
          <w:rFonts w:ascii="Arial" w:hAnsi="Arial" w:cs="Arial"/>
          <w:sz w:val="20"/>
          <w:szCs w:val="20"/>
          <w:lang w:eastAsia="en-GB"/>
        </w:rPr>
        <w:br/>
      </w:r>
      <w:r>
        <w:rPr>
          <w:rFonts w:ascii="Arial" w:hAnsi="Arial" w:cs="Arial"/>
          <w:sz w:val="20"/>
          <w:szCs w:val="20"/>
          <w:lang w:eastAsia="en-GB"/>
        </w:rPr>
        <w:br/>
        <w:t xml:space="preserve">Disposals are matched: </w:t>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Firstly, with acquisitions on the same day as the day of disposal. </w:t>
      </w:r>
      <w:r w:rsidRPr="004D6FDA">
        <w:rPr>
          <w:rFonts w:cs="Arial"/>
          <w:lang w:eastAsia="en-GB"/>
        </w:rPr>
        <w:br/>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Secondly, with acquisitions made in the 30 days following the date of disposal (FIFO basis). </w:t>
      </w:r>
      <w:r w:rsidRPr="004D6FDA">
        <w:rPr>
          <w:rFonts w:cs="Arial"/>
          <w:lang w:eastAsia="en-GB"/>
        </w:rPr>
        <w:br/>
      </w:r>
    </w:p>
    <w:p w:rsidR="0021462E" w:rsidRPr="004D6FDA" w:rsidRDefault="0021462E" w:rsidP="004B5E56">
      <w:pPr>
        <w:pStyle w:val="ListParagraph"/>
        <w:numPr>
          <w:ilvl w:val="0"/>
          <w:numId w:val="19"/>
        </w:numPr>
        <w:spacing w:before="100" w:beforeAutospacing="1" w:after="100" w:afterAutospacing="1" w:line="276" w:lineRule="auto"/>
        <w:rPr>
          <w:rFonts w:cs="Arial"/>
          <w:lang w:eastAsia="en-GB"/>
        </w:rPr>
      </w:pPr>
      <w:r w:rsidRPr="004D6FDA">
        <w:rPr>
          <w:rFonts w:cs="Arial"/>
          <w:lang w:eastAsia="en-GB"/>
        </w:rPr>
        <w:t xml:space="preserve">Thirdly, with shares from the share pool. </w:t>
      </w:r>
    </w:p>
    <w:p w:rsidR="0021462E" w:rsidRPr="009966F0" w:rsidRDefault="0021462E" w:rsidP="004B5E56">
      <w:pPr>
        <w:spacing w:before="100" w:beforeAutospacing="1" w:after="100" w:afterAutospacing="1" w:line="276" w:lineRule="auto"/>
        <w:rPr>
          <w:rFonts w:ascii="Arial" w:hAnsi="Arial" w:cs="Arial"/>
          <w:b/>
          <w:sz w:val="20"/>
          <w:szCs w:val="20"/>
          <w:lang w:eastAsia="en-GB"/>
        </w:rPr>
      </w:pPr>
      <w:r w:rsidRPr="009966F0">
        <w:rPr>
          <w:rFonts w:ascii="Arial" w:hAnsi="Arial" w:cs="Arial"/>
          <w:b/>
          <w:sz w:val="20"/>
          <w:szCs w:val="20"/>
          <w:lang w:eastAsia="en-GB"/>
        </w:rPr>
        <w:br/>
        <w:t xml:space="preserve">The Share Pool </w:t>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9966F0">
        <w:rPr>
          <w:rFonts w:cs="Arial"/>
          <w:lang w:eastAsia="en-GB"/>
        </w:rPr>
        <w:t xml:space="preserve">The share </w:t>
      </w:r>
      <w:r w:rsidRPr="004D6FDA">
        <w:rPr>
          <w:rFonts w:cs="Arial"/>
          <w:lang w:eastAsia="en-GB"/>
        </w:rPr>
        <w:t xml:space="preserve">pool contains all shares acquired prior to the disposal date. </w:t>
      </w:r>
      <w:r w:rsidRPr="004D6FDA">
        <w:rPr>
          <w:rFonts w:cs="Arial"/>
          <w:lang w:eastAsia="en-GB"/>
        </w:rPr>
        <w:br/>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4D6FDA">
        <w:rPr>
          <w:rFonts w:cs="Arial"/>
          <w:lang w:eastAsia="en-GB"/>
        </w:rPr>
        <w:t xml:space="preserve">Each acquisition is not kept separately, but is ‘pooled' together with other acquisitions and a running total kept of the number of shares and the cost of those shares. </w:t>
      </w:r>
      <w:r w:rsidRPr="004D6FDA">
        <w:rPr>
          <w:rFonts w:cs="Arial"/>
          <w:lang w:eastAsia="en-GB"/>
        </w:rPr>
        <w:br/>
      </w:r>
    </w:p>
    <w:p w:rsidR="0021462E" w:rsidRPr="004D6FDA" w:rsidRDefault="0021462E" w:rsidP="004B5E56">
      <w:pPr>
        <w:pStyle w:val="ListParagraph"/>
        <w:numPr>
          <w:ilvl w:val="0"/>
          <w:numId w:val="20"/>
        </w:numPr>
        <w:spacing w:before="100" w:beforeAutospacing="1" w:after="100" w:afterAutospacing="1" w:line="276" w:lineRule="auto"/>
        <w:rPr>
          <w:rFonts w:cs="Arial"/>
          <w:lang w:eastAsia="en-GB"/>
        </w:rPr>
      </w:pPr>
      <w:r w:rsidRPr="004D6FDA">
        <w:rPr>
          <w:rFonts w:cs="Arial"/>
          <w:lang w:eastAsia="en-GB"/>
        </w:rPr>
        <w:t xml:space="preserve">When a disposal from the pool is made, the appropriate </w:t>
      </w:r>
      <w:proofErr w:type="gramStart"/>
      <w:r w:rsidRPr="004D6FDA">
        <w:rPr>
          <w:rFonts w:cs="Arial"/>
          <w:lang w:eastAsia="en-GB"/>
        </w:rPr>
        <w:t>number of shares are</w:t>
      </w:r>
      <w:proofErr w:type="gramEnd"/>
      <w:r w:rsidRPr="004D6FDA">
        <w:rPr>
          <w:rFonts w:cs="Arial"/>
          <w:lang w:eastAsia="en-GB"/>
        </w:rPr>
        <w:t xml:space="preserve"> taken from the pool along with the average cost of those shares. </w:t>
      </w:r>
      <w:r w:rsidRPr="004D6FDA">
        <w:rPr>
          <w:rFonts w:cs="Arial"/>
          <w:lang w:eastAsia="en-GB"/>
        </w:rPr>
        <w:br/>
      </w:r>
    </w:p>
    <w:p w:rsidR="0021462E" w:rsidRPr="009966F0" w:rsidRDefault="0021462E" w:rsidP="004B5E56">
      <w:pPr>
        <w:pStyle w:val="ListParagraph"/>
        <w:numPr>
          <w:ilvl w:val="0"/>
          <w:numId w:val="20"/>
        </w:numPr>
        <w:spacing w:before="100" w:beforeAutospacing="1" w:after="100" w:afterAutospacing="1" w:line="276" w:lineRule="auto"/>
        <w:rPr>
          <w:rFonts w:cs="Arial"/>
          <w:lang w:eastAsia="en-GB"/>
        </w:rPr>
      </w:pPr>
      <w:r w:rsidRPr="009966F0">
        <w:rPr>
          <w:rFonts w:cs="Arial"/>
          <w:lang w:eastAsia="en-GB"/>
        </w:rPr>
        <w:t xml:space="preserve">The gain on disposal is then calculated. </w:t>
      </w:r>
    </w:p>
    <w:p w:rsidR="0021462E" w:rsidRPr="009966F0" w:rsidRDefault="0021462E" w:rsidP="004B5E56">
      <w:pPr>
        <w:spacing w:before="100" w:beforeAutospacing="1" w:after="100" w:afterAutospacing="1" w:line="276" w:lineRule="auto"/>
        <w:rPr>
          <w:rFonts w:ascii="Arial" w:hAnsi="Arial" w:cs="Arial"/>
          <w:sz w:val="20"/>
          <w:szCs w:val="20"/>
          <w:lang w:eastAsia="en-GB"/>
        </w:rPr>
      </w:pPr>
      <w:r w:rsidRPr="009966F0">
        <w:rPr>
          <w:rFonts w:ascii="Arial" w:hAnsi="Arial" w:cs="Arial"/>
          <w:sz w:val="20"/>
          <w:szCs w:val="20"/>
          <w:lang w:eastAsia="en-GB"/>
        </w:rPr>
        <w:t xml:space="preserve">  </w:t>
      </w:r>
    </w:p>
    <w:p w:rsidR="0021462E" w:rsidRPr="009966F0" w:rsidRDefault="0021462E" w:rsidP="004B5E56">
      <w:pPr>
        <w:spacing w:before="100" w:beforeAutospacing="1" w:after="100" w:afterAutospacing="1" w:line="276" w:lineRule="auto"/>
        <w:rPr>
          <w:rFonts w:ascii="Arial" w:hAnsi="Arial" w:cs="Arial"/>
          <w:b/>
          <w:sz w:val="20"/>
          <w:szCs w:val="20"/>
          <w:lang w:eastAsia="en-GB"/>
        </w:rPr>
      </w:pPr>
      <w:r w:rsidRPr="009966F0">
        <w:rPr>
          <w:rFonts w:ascii="Arial" w:hAnsi="Arial" w:cs="Arial"/>
          <w:b/>
          <w:sz w:val="20"/>
          <w:szCs w:val="20"/>
          <w:lang w:eastAsia="en-GB"/>
        </w:rPr>
        <w:t>Bonus issues and rights issues</w:t>
      </w:r>
    </w:p>
    <w:p w:rsidR="0021462E" w:rsidRDefault="0021462E" w:rsidP="004B5E56">
      <w:pPr>
        <w:pStyle w:val="ListParagraph"/>
        <w:numPr>
          <w:ilvl w:val="0"/>
          <w:numId w:val="21"/>
        </w:numPr>
        <w:spacing w:before="100" w:beforeAutospacing="1" w:after="100" w:afterAutospacing="1" w:line="276" w:lineRule="auto"/>
        <w:rPr>
          <w:rFonts w:cs="Arial"/>
          <w:lang w:eastAsia="en-GB"/>
        </w:rPr>
      </w:pPr>
      <w:r w:rsidRPr="009966F0">
        <w:rPr>
          <w:rFonts w:cs="Arial"/>
          <w:lang w:eastAsia="en-GB"/>
        </w:rPr>
        <w:t xml:space="preserve">Bonus issue – </w:t>
      </w:r>
      <w:r w:rsidRPr="004D6FDA">
        <w:rPr>
          <w:rFonts w:cs="Arial"/>
          <w:lang w:eastAsia="en-GB"/>
        </w:rPr>
        <w:t>no adjustment to cost needed.</w:t>
      </w:r>
    </w:p>
    <w:p w:rsidR="00735E86" w:rsidRDefault="00735E86" w:rsidP="004B5E56">
      <w:pPr>
        <w:pStyle w:val="ListParagraph"/>
        <w:numPr>
          <w:ilvl w:val="0"/>
          <w:numId w:val="21"/>
        </w:numPr>
        <w:spacing w:before="100" w:beforeAutospacing="1" w:after="100" w:afterAutospacing="1" w:line="276" w:lineRule="auto"/>
        <w:rPr>
          <w:rFonts w:cs="Arial"/>
          <w:lang w:eastAsia="en-GB"/>
        </w:rPr>
      </w:pPr>
      <w:r>
        <w:rPr>
          <w:rFonts w:cs="Arial"/>
          <w:lang w:eastAsia="en-GB"/>
        </w:rPr>
        <w:t>Rights issue – adjustment to cost needed.</w:t>
      </w:r>
    </w:p>
    <w:p w:rsidR="0021462E" w:rsidRDefault="0021462E" w:rsidP="004B5E56">
      <w:pPr>
        <w:spacing w:line="276" w:lineRule="auto"/>
        <w:rPr>
          <w:rFonts w:ascii="Arial" w:eastAsiaTheme="minorHAnsi" w:hAnsi="Arial" w:cs="Arial"/>
          <w:color w:val="000000" w:themeColor="text1"/>
          <w:sz w:val="20"/>
          <w:szCs w:val="20"/>
          <w:lang w:eastAsia="en-GB"/>
        </w:rPr>
      </w:pPr>
      <w:r>
        <w:rPr>
          <w:rFonts w:cs="Arial"/>
          <w:lang w:eastAsia="en-GB"/>
        </w:rPr>
        <w:br w:type="page"/>
      </w:r>
    </w:p>
    <w:p w:rsidR="0021462E" w:rsidRPr="00FB0385" w:rsidRDefault="0021462E" w:rsidP="004B5E56">
      <w:pPr>
        <w:spacing w:line="276" w:lineRule="auto"/>
        <w:rPr>
          <w:rFonts w:ascii="Arial" w:hAnsi="Arial" w:cs="Arial"/>
          <w:b/>
        </w:rPr>
      </w:pPr>
      <w:r w:rsidRPr="00FB0385">
        <w:rPr>
          <w:rFonts w:ascii="Arial" w:hAnsi="Arial" w:cs="Arial"/>
          <w:b/>
        </w:rPr>
        <w:t>Chargeable gains – reliefs available to individuals</w:t>
      </w:r>
    </w:p>
    <w:p w:rsidR="0021462E" w:rsidRPr="0021462E" w:rsidRDefault="0021462E" w:rsidP="004B5E56">
      <w:pPr>
        <w:spacing w:line="276" w:lineRule="auto"/>
        <w:rPr>
          <w:rFonts w:ascii="Arial" w:hAnsi="Arial" w:cs="Arial"/>
          <w:sz w:val="20"/>
          <w:szCs w:val="20"/>
        </w:rPr>
      </w:pPr>
      <w:r w:rsidRPr="00A71D64">
        <w:rPr>
          <w:rFonts w:ascii="Arial" w:hAnsi="Arial" w:cs="Arial"/>
          <w:b/>
          <w:sz w:val="22"/>
          <w:szCs w:val="22"/>
        </w:rPr>
        <w:br/>
      </w:r>
      <w:proofErr w:type="gramStart"/>
      <w:r w:rsidRPr="0021462E">
        <w:rPr>
          <w:rFonts w:ascii="Arial" w:hAnsi="Arial" w:cs="Arial"/>
          <w:sz w:val="20"/>
          <w:szCs w:val="20"/>
        </w:rPr>
        <w:t>Replacement of business assets (Rollover) relief – when a qualifying business asset is sold at a gain, taxpayer can defer gain by reinvesting proceeds in a qualifying replacement asset.</w:t>
      </w:r>
      <w:proofErr w:type="gramEnd"/>
    </w:p>
    <w:p w:rsidR="0021462E" w:rsidRPr="0021462E" w:rsidRDefault="0021462E" w:rsidP="004B5E56">
      <w:pPr>
        <w:pStyle w:val="ListParagraph"/>
        <w:numPr>
          <w:ilvl w:val="0"/>
          <w:numId w:val="23"/>
        </w:numPr>
        <w:spacing w:after="200" w:line="276" w:lineRule="auto"/>
        <w:rPr>
          <w:rFonts w:cs="Arial"/>
        </w:rPr>
      </w:pPr>
      <w:r w:rsidRPr="0021462E">
        <w:rPr>
          <w:rFonts w:cs="Arial"/>
        </w:rPr>
        <w:t>Deferred gain is deducted from the cost of the replacement asset so gain crystallises when the replacement asset is sold.</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Qualifying assets (original and replacement) – must be used in a trade by the vendor and be land and buildings, fixed plant and machinery or goodwill.</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Qualifying time period – replacement asset must be purchased between 1 year before and 3 years after the sale of the original asset.</w:t>
      </w:r>
      <w:r w:rsidRPr="0021462E">
        <w:rPr>
          <w:rFonts w:cs="Arial"/>
        </w:rPr>
        <w:br/>
      </w:r>
    </w:p>
    <w:p w:rsidR="0021462E" w:rsidRPr="0021462E" w:rsidRDefault="0021462E" w:rsidP="004B5E56">
      <w:pPr>
        <w:pStyle w:val="ListParagraph"/>
        <w:numPr>
          <w:ilvl w:val="0"/>
          <w:numId w:val="23"/>
        </w:numPr>
        <w:spacing w:after="200" w:line="276" w:lineRule="auto"/>
        <w:rPr>
          <w:rFonts w:cs="Arial"/>
        </w:rPr>
      </w:pPr>
      <w:r w:rsidRPr="0021462E">
        <w:rPr>
          <w:rFonts w:cs="Arial"/>
        </w:rPr>
        <w:t>Partial reinvestment – only some of the sales proceeds reinvested then the gain taxable is the lower of the full gain and the proceeds not reinvested.</w:t>
      </w:r>
    </w:p>
    <w:p w:rsidR="0021462E" w:rsidRPr="0021462E" w:rsidRDefault="0021462E" w:rsidP="004B5E56">
      <w:pPr>
        <w:spacing w:line="276" w:lineRule="auto"/>
        <w:rPr>
          <w:rFonts w:ascii="Arial" w:hAnsi="Arial" w:cs="Arial"/>
          <w:sz w:val="20"/>
          <w:szCs w:val="20"/>
        </w:rPr>
      </w:pPr>
      <w:r w:rsidRPr="00FB0385">
        <w:rPr>
          <w:rFonts w:ascii="Arial" w:hAnsi="Arial" w:cs="Arial"/>
          <w:sz w:val="20"/>
          <w:szCs w:val="20"/>
        </w:rPr>
        <w:br/>
      </w:r>
      <w:r w:rsidRPr="0021462E">
        <w:rPr>
          <w:rFonts w:ascii="Arial" w:hAnsi="Arial" w:cs="Arial"/>
          <w:sz w:val="20"/>
          <w:szCs w:val="20"/>
        </w:rPr>
        <w:t xml:space="preserve">Gift relief (holdover relief) – </w:t>
      </w:r>
      <w:proofErr w:type="spellStart"/>
      <w:r w:rsidRPr="0021462E">
        <w:rPr>
          <w:rFonts w:ascii="Arial" w:hAnsi="Arial" w:cs="Arial"/>
          <w:sz w:val="20"/>
          <w:szCs w:val="20"/>
        </w:rPr>
        <w:t>donee</w:t>
      </w:r>
      <w:proofErr w:type="spellEnd"/>
      <w:r w:rsidRPr="0021462E">
        <w:rPr>
          <w:rFonts w:ascii="Arial" w:hAnsi="Arial" w:cs="Arial"/>
          <w:sz w:val="20"/>
          <w:szCs w:val="20"/>
        </w:rPr>
        <w:t xml:space="preserve"> takes over asset at donor’s base cost i.e. the gain is given away along with the asset.</w:t>
      </w:r>
    </w:p>
    <w:p w:rsidR="0021462E" w:rsidRPr="0021462E" w:rsidRDefault="0021462E" w:rsidP="004B5E56">
      <w:pPr>
        <w:pStyle w:val="ListParagraph"/>
        <w:numPr>
          <w:ilvl w:val="0"/>
          <w:numId w:val="24"/>
        </w:numPr>
        <w:spacing w:after="200" w:line="276" w:lineRule="auto"/>
        <w:rPr>
          <w:rFonts w:cs="Arial"/>
        </w:rPr>
      </w:pPr>
      <w:r w:rsidRPr="0021462E">
        <w:rPr>
          <w:rFonts w:cs="Arial"/>
        </w:rPr>
        <w:t>Qualifying assets – trade assets of donor or shares in any unquoted trading company or personal trading company (individual owns at least 5% of company).</w:t>
      </w:r>
    </w:p>
    <w:p w:rsidR="0021462E" w:rsidRPr="00FB0385" w:rsidRDefault="0021462E" w:rsidP="004B5E56">
      <w:pPr>
        <w:spacing w:line="276" w:lineRule="auto"/>
        <w:rPr>
          <w:rFonts w:ascii="Arial" w:hAnsi="Arial" w:cs="Arial"/>
          <w:sz w:val="20"/>
          <w:szCs w:val="20"/>
        </w:rPr>
      </w:pPr>
      <w:r w:rsidRPr="00FB0385">
        <w:rPr>
          <w:rFonts w:ascii="Arial" w:hAnsi="Arial" w:cs="Arial"/>
          <w:sz w:val="20"/>
          <w:szCs w:val="20"/>
        </w:rPr>
        <w:br/>
      </w:r>
      <w:proofErr w:type="gramStart"/>
      <w:r>
        <w:rPr>
          <w:rFonts w:ascii="Arial" w:hAnsi="Arial" w:cs="Arial"/>
          <w:sz w:val="20"/>
          <w:szCs w:val="20"/>
        </w:rPr>
        <w:t xml:space="preserve">Entrepreneurs’ </w:t>
      </w:r>
      <w:r w:rsidRPr="0021462E">
        <w:rPr>
          <w:rFonts w:ascii="Arial" w:hAnsi="Arial" w:cs="Arial"/>
          <w:sz w:val="20"/>
          <w:szCs w:val="20"/>
        </w:rPr>
        <w:t>relief</w:t>
      </w:r>
      <w:r w:rsidRPr="00FB0385">
        <w:rPr>
          <w:rFonts w:ascii="Arial" w:hAnsi="Arial" w:cs="Arial"/>
          <w:b/>
          <w:sz w:val="20"/>
          <w:szCs w:val="20"/>
        </w:rPr>
        <w:t xml:space="preserve"> </w:t>
      </w:r>
      <w:r w:rsidRPr="00FB0385">
        <w:rPr>
          <w:rFonts w:ascii="Arial" w:hAnsi="Arial" w:cs="Arial"/>
          <w:sz w:val="20"/>
          <w:szCs w:val="20"/>
        </w:rPr>
        <w:t>– gain taxable at 10% capital gains tax rate.</w:t>
      </w:r>
      <w:proofErr w:type="gramEnd"/>
      <w:r w:rsidRPr="00FB0385">
        <w:rPr>
          <w:rFonts w:ascii="Arial" w:hAnsi="Arial" w:cs="Arial"/>
          <w:sz w:val="20"/>
          <w:szCs w:val="20"/>
        </w:rPr>
        <w:t xml:space="preserve"> </w:t>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The £10 million limit is a lifetime limit which is reduced each time a claim for the relief is made.</w:t>
      </w:r>
      <w:r w:rsidRPr="0021462E">
        <w:rPr>
          <w:rFonts w:ascii="Arial" w:hAnsi="Arial" w:cs="Arial"/>
          <w:sz w:val="20"/>
          <w:szCs w:val="20"/>
        </w:rPr>
        <w:br/>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 xml:space="preserve">For 2016/17 claim must be made by 31 January 2019. </w:t>
      </w:r>
      <w:r w:rsidRPr="0021462E">
        <w:rPr>
          <w:rFonts w:ascii="Arial" w:hAnsi="Arial" w:cs="Arial"/>
          <w:sz w:val="20"/>
          <w:szCs w:val="20"/>
        </w:rPr>
        <w:br/>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bCs/>
          <w:sz w:val="20"/>
          <w:szCs w:val="20"/>
        </w:rPr>
        <w:t>Qualifying business disposals</w:t>
      </w:r>
      <w:r w:rsidRPr="0021462E">
        <w:rPr>
          <w:rFonts w:ascii="Arial" w:hAnsi="Arial" w:cs="Arial"/>
          <w:sz w:val="20"/>
          <w:szCs w:val="20"/>
        </w:rPr>
        <w:t xml:space="preserve"> (assets must be owned for at least 12 months prior to sale)</w:t>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r w:rsidRPr="0021462E">
        <w:rPr>
          <w:rFonts w:ascii="Arial" w:hAnsi="Arial" w:cs="Arial"/>
          <w:sz w:val="20"/>
          <w:szCs w:val="20"/>
        </w:rPr>
        <w:t xml:space="preserve">The whole or part of a business carried on by the individual (alone or in partnership). </w:t>
      </w:r>
      <w:r w:rsidRPr="0021462E">
        <w:rPr>
          <w:rFonts w:ascii="Arial" w:hAnsi="Arial" w:cs="Arial"/>
          <w:sz w:val="20"/>
          <w:szCs w:val="20"/>
        </w:rPr>
        <w:br/>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proofErr w:type="gramStart"/>
      <w:r w:rsidRPr="0021462E">
        <w:rPr>
          <w:rFonts w:ascii="Arial" w:hAnsi="Arial" w:cs="Arial"/>
          <w:sz w:val="20"/>
          <w:szCs w:val="20"/>
        </w:rPr>
        <w:t>Assets of the individual's or partnership's</w:t>
      </w:r>
      <w:proofErr w:type="gramEnd"/>
      <w:r w:rsidRPr="0021462E">
        <w:rPr>
          <w:rFonts w:ascii="Arial" w:hAnsi="Arial" w:cs="Arial"/>
          <w:sz w:val="20"/>
          <w:szCs w:val="20"/>
        </w:rPr>
        <w:t xml:space="preserve"> trading business that has </w:t>
      </w:r>
      <w:r w:rsidRPr="0021462E">
        <w:rPr>
          <w:rFonts w:ascii="Arial" w:hAnsi="Arial" w:cs="Arial"/>
          <w:bCs/>
          <w:sz w:val="20"/>
          <w:szCs w:val="20"/>
        </w:rPr>
        <w:t>now ceased.</w:t>
      </w:r>
      <w:r w:rsidRPr="0021462E">
        <w:rPr>
          <w:rFonts w:ascii="Arial" w:hAnsi="Arial" w:cs="Arial"/>
          <w:bCs/>
          <w:sz w:val="20"/>
          <w:szCs w:val="20"/>
        </w:rPr>
        <w:br/>
      </w:r>
    </w:p>
    <w:p w:rsidR="0021462E" w:rsidRPr="0021462E" w:rsidRDefault="0021462E" w:rsidP="004B5E56">
      <w:pPr>
        <w:pStyle w:val="NormalWeb"/>
        <w:numPr>
          <w:ilvl w:val="0"/>
          <w:numId w:val="25"/>
        </w:numPr>
        <w:spacing w:beforeAutospacing="1" w:afterAutospacing="1" w:line="276" w:lineRule="auto"/>
        <w:rPr>
          <w:rFonts w:ascii="Arial" w:hAnsi="Arial" w:cs="Arial"/>
          <w:sz w:val="20"/>
          <w:szCs w:val="20"/>
        </w:rPr>
      </w:pPr>
      <w:r w:rsidRPr="0021462E">
        <w:rPr>
          <w:rFonts w:ascii="Arial" w:hAnsi="Arial" w:cs="Arial"/>
          <w:sz w:val="20"/>
          <w:szCs w:val="20"/>
        </w:rPr>
        <w:t>Shares in the individual’s ‘personal trading company’. Individual must have owned the shares and been an employee of the company for 12 months</w:t>
      </w:r>
      <w:r>
        <w:rPr>
          <w:rFonts w:ascii="Arial" w:hAnsi="Arial" w:cs="Arial"/>
          <w:sz w:val="20"/>
          <w:szCs w:val="20"/>
        </w:rPr>
        <w:t xml:space="preserve"> prior to sale.</w:t>
      </w:r>
    </w:p>
    <w:p w:rsidR="0021462E" w:rsidRPr="0021462E" w:rsidRDefault="0021462E" w:rsidP="004B5E56">
      <w:pPr>
        <w:pStyle w:val="NormalWeb"/>
        <w:numPr>
          <w:ilvl w:val="0"/>
          <w:numId w:val="22"/>
        </w:numPr>
        <w:spacing w:beforeAutospacing="1" w:afterAutospacing="1" w:line="276" w:lineRule="auto"/>
        <w:rPr>
          <w:rFonts w:ascii="Arial" w:hAnsi="Arial" w:cs="Arial"/>
          <w:sz w:val="20"/>
          <w:szCs w:val="20"/>
        </w:rPr>
      </w:pPr>
      <w:r w:rsidRPr="0021462E">
        <w:rPr>
          <w:rFonts w:ascii="Arial" w:hAnsi="Arial" w:cs="Arial"/>
          <w:sz w:val="20"/>
          <w:szCs w:val="20"/>
        </w:rPr>
        <w:t>From 17 March 2016, newly issued shares in unlisted trading companies purchased on or after 17 March 2016 by external investors qualify for entrepreneurs’ relief provided they are continually held for a minimum of 3 years from 6 April 2016.</w:t>
      </w:r>
    </w:p>
    <w:p w:rsidR="0021462E" w:rsidRPr="00DD0413" w:rsidRDefault="0021462E" w:rsidP="004B5E56">
      <w:pPr>
        <w:spacing w:line="276" w:lineRule="auto"/>
      </w:pPr>
    </w:p>
    <w:p w:rsidR="0021462E" w:rsidRDefault="0021462E" w:rsidP="004B5E56">
      <w:pPr>
        <w:spacing w:line="276" w:lineRule="auto"/>
        <w:rPr>
          <w:rFonts w:cs="Arial"/>
          <w:b/>
          <w:lang w:eastAsia="en-GB"/>
        </w:rPr>
      </w:pPr>
      <w:r>
        <w:rPr>
          <w:rFonts w:cs="Arial"/>
          <w:b/>
          <w:lang w:eastAsia="en-GB"/>
        </w:rPr>
        <w:br w:type="page"/>
      </w:r>
    </w:p>
    <w:p w:rsidR="0021462E" w:rsidRDefault="0021462E" w:rsidP="004B5E56">
      <w:pPr>
        <w:spacing w:line="276" w:lineRule="auto"/>
        <w:rPr>
          <w:rFonts w:ascii="Arial" w:hAnsi="Arial" w:cs="Arial"/>
          <w:b/>
        </w:rPr>
      </w:pPr>
      <w:r w:rsidRPr="00AE58B0">
        <w:rPr>
          <w:rFonts w:ascii="Arial" w:hAnsi="Arial" w:cs="Arial"/>
          <w:b/>
        </w:rPr>
        <w:t>Calculation of gains and losses for companies</w:t>
      </w:r>
    </w:p>
    <w:p w:rsidR="0021462E" w:rsidRDefault="0021462E" w:rsidP="004B5E56">
      <w:pPr>
        <w:spacing w:line="276"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850"/>
        <w:gridCol w:w="851"/>
      </w:tblGrid>
      <w:tr w:rsidR="0021462E" w:rsidTr="004B5E56">
        <w:trPr>
          <w:cnfStyle w:val="100000000000" w:firstRow="1" w:lastRow="0" w:firstColumn="0" w:lastColumn="0" w:oddVBand="0" w:evenVBand="0" w:oddHBand="0" w:evenHBand="0" w:firstRowFirstColumn="0" w:firstRowLastColumn="0" w:lastRowFirstColumn="0" w:lastRowLastColumn="0"/>
          <w:trHeight w:val="340"/>
        </w:trPr>
        <w:tc>
          <w:tcPr>
            <w:tcW w:w="6629" w:type="dxa"/>
            <w:shd w:val="clear" w:color="auto" w:fill="auto"/>
            <w:vAlign w:val="center"/>
          </w:tcPr>
          <w:p w:rsidR="0021462E" w:rsidRDefault="0021462E" w:rsidP="004B5E56">
            <w:pPr>
              <w:spacing w:line="276" w:lineRule="auto"/>
              <w:rPr>
                <w:rFonts w:ascii="Arial" w:hAnsi="Arial" w:cs="Arial"/>
                <w:b/>
              </w:rPr>
            </w:pPr>
            <w:r w:rsidRPr="00AE58B0">
              <w:rPr>
                <w:rFonts w:ascii="Arial" w:hAnsi="Arial" w:cs="Arial"/>
                <w:b/>
                <w:sz w:val="20"/>
                <w:szCs w:val="20"/>
                <w:lang w:eastAsia="en-GB"/>
              </w:rPr>
              <w:t>Pro</w:t>
            </w:r>
            <w:r w:rsidR="00532720">
              <w:rPr>
                <w:rFonts w:ascii="Arial" w:hAnsi="Arial" w:cs="Arial"/>
                <w:b/>
                <w:sz w:val="20"/>
                <w:szCs w:val="20"/>
                <w:lang w:eastAsia="en-GB"/>
              </w:rPr>
              <w:t xml:space="preserve"> </w:t>
            </w:r>
            <w:r w:rsidRPr="00AE58B0">
              <w:rPr>
                <w:rFonts w:ascii="Arial" w:hAnsi="Arial" w:cs="Arial"/>
                <w:b/>
                <w:sz w:val="20"/>
                <w:szCs w:val="20"/>
                <w:lang w:eastAsia="en-GB"/>
              </w:rPr>
              <w:t>forma computation  </w:t>
            </w:r>
          </w:p>
        </w:tc>
        <w:tc>
          <w:tcPr>
            <w:tcW w:w="850" w:type="dxa"/>
            <w:shd w:val="clear" w:color="auto" w:fill="auto"/>
            <w:vAlign w:val="center"/>
          </w:tcPr>
          <w:p w:rsidR="0021462E" w:rsidRDefault="0021462E" w:rsidP="004B5E56">
            <w:pPr>
              <w:spacing w:line="276" w:lineRule="auto"/>
              <w:rPr>
                <w:rFonts w:ascii="Arial" w:hAnsi="Arial" w:cs="Arial"/>
                <w:b/>
              </w:rPr>
            </w:pPr>
          </w:p>
        </w:tc>
        <w:tc>
          <w:tcPr>
            <w:tcW w:w="851" w:type="dxa"/>
            <w:shd w:val="clear" w:color="auto" w:fill="auto"/>
            <w:vAlign w:val="center"/>
          </w:tcPr>
          <w:p w:rsidR="0021462E" w:rsidRDefault="0021462E" w:rsidP="004B5E56">
            <w:pPr>
              <w:spacing w:line="276" w:lineRule="auto"/>
              <w:rPr>
                <w:rFonts w:ascii="Arial" w:hAnsi="Arial" w:cs="Arial"/>
                <w: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  </w:t>
            </w:r>
          </w:p>
        </w:tc>
        <w:tc>
          <w:tcPr>
            <w:tcW w:w="850" w:type="dxa"/>
            <w:shd w:val="clear" w:color="auto" w:fill="auto"/>
            <w:vAlign w:val="center"/>
          </w:tcPr>
          <w:p w:rsidR="0021462E" w:rsidRPr="006F165B" w:rsidRDefault="0021462E" w:rsidP="004B5E56">
            <w:pPr>
              <w:spacing w:before="100" w:beforeAutospacing="1" w:after="100" w:afterAutospacing="1" w:line="276" w:lineRule="auto"/>
              <w:jc w:val="center"/>
              <w:rPr>
                <w:rFonts w:ascii="Arial" w:hAnsi="Arial" w:cs="Arial"/>
                <w:b/>
                <w:sz w:val="20"/>
                <w:szCs w:val="20"/>
                <w:lang w:eastAsia="en-GB"/>
              </w:rPr>
            </w:pPr>
            <w:r w:rsidRPr="006F165B">
              <w:rPr>
                <w:rFonts w:ascii="Arial" w:hAnsi="Arial" w:cs="Arial"/>
                <w:b/>
                <w:sz w:val="20"/>
                <w:szCs w:val="20"/>
                <w:lang w:eastAsia="en-GB"/>
              </w:rPr>
              <w:t xml:space="preserve">£ </w:t>
            </w:r>
          </w:p>
        </w:tc>
        <w:tc>
          <w:tcPr>
            <w:tcW w:w="851" w:type="dxa"/>
            <w:shd w:val="clear" w:color="auto" w:fill="auto"/>
            <w:vAlign w:val="center"/>
          </w:tcPr>
          <w:p w:rsidR="0021462E" w:rsidRPr="006F165B" w:rsidRDefault="0021462E" w:rsidP="004B5E56">
            <w:pPr>
              <w:spacing w:before="100" w:beforeAutospacing="1" w:after="100" w:afterAutospacing="1" w:line="276" w:lineRule="auto"/>
              <w:jc w:val="center"/>
              <w:rPr>
                <w:rFonts w:ascii="Arial" w:hAnsi="Arial" w:cs="Arial"/>
                <w:b/>
                <w:sz w:val="20"/>
                <w:szCs w:val="20"/>
                <w:lang w:eastAsia="en-GB"/>
              </w:rPr>
            </w:pPr>
            <w:r w:rsidRPr="006F165B">
              <w:rPr>
                <w:rFonts w:ascii="Arial" w:hAnsi="Arial" w:cs="Arial"/>
                <w:b/>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Consideration received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X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Less</w:t>
            </w:r>
            <w:r>
              <w:rPr>
                <w:rFonts w:ascii="Arial" w:hAnsi="Arial" w:cs="Arial"/>
                <w:sz w:val="20"/>
                <w:szCs w:val="20"/>
                <w:lang w:eastAsia="en-GB"/>
              </w:rPr>
              <w:tab/>
            </w:r>
            <w:r w:rsidRPr="00AE58B0">
              <w:rPr>
                <w:rFonts w:ascii="Arial" w:hAnsi="Arial" w:cs="Arial"/>
                <w:sz w:val="20"/>
                <w:szCs w:val="20"/>
                <w:lang w:eastAsia="en-GB"/>
              </w:rPr>
              <w:t xml:space="preserve">Incidental costs of sale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 xml:space="preserve">Net sale proceeds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NSP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sidRPr="00AE58B0">
              <w:rPr>
                <w:rFonts w:ascii="Arial" w:hAnsi="Arial" w:cs="Arial"/>
                <w:sz w:val="20"/>
                <w:szCs w:val="20"/>
                <w:lang w:eastAsia="en-GB"/>
              </w:rPr>
              <w:t>Less</w:t>
            </w:r>
            <w:r>
              <w:rPr>
                <w:rFonts w:ascii="Arial" w:hAnsi="Arial" w:cs="Arial"/>
                <w:sz w:val="20"/>
                <w:szCs w:val="20"/>
                <w:lang w:eastAsia="en-GB"/>
              </w:rPr>
              <w:tab/>
            </w:r>
            <w:r w:rsidRPr="00AE58B0">
              <w:rPr>
                <w:rFonts w:ascii="Arial" w:hAnsi="Arial" w:cs="Arial"/>
                <w:sz w:val="20"/>
                <w:szCs w:val="20"/>
                <w:lang w:eastAsia="en-GB"/>
              </w:rPr>
              <w:t xml:space="preserve">Allowable expenditure </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sidRPr="00AE58B0">
              <w:rPr>
                <w:rFonts w:ascii="Arial" w:hAnsi="Arial" w:cs="Arial"/>
                <w:sz w:val="20"/>
                <w:szCs w:val="20"/>
                <w:lang w:eastAsia="en-GB"/>
              </w:rPr>
              <w:t>Acquisition cost + incidental costs of acquisition</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 xml:space="preserve">  </w:t>
            </w:r>
          </w:p>
        </w:tc>
      </w:tr>
      <w:tr w:rsidR="0021462E" w:rsidTr="004B5E56">
        <w:trPr>
          <w:trHeight w:val="340"/>
        </w:trPr>
        <w:tc>
          <w:tcPr>
            <w:tcW w:w="6629" w:type="dxa"/>
            <w:shd w:val="clear" w:color="auto" w:fill="auto"/>
            <w:vAlign w:val="center"/>
          </w:tcPr>
          <w:p w:rsidR="0021462E" w:rsidRPr="00AE58B0" w:rsidRDefault="0021462E" w:rsidP="00A2703F">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Indexation allowance </w:t>
            </w:r>
            <w:r w:rsidRPr="00AE58B0">
              <w:rPr>
                <w:rFonts w:ascii="Arial" w:hAnsi="Arial" w:cs="Arial"/>
                <w:sz w:val="20"/>
                <w:szCs w:val="20"/>
                <w:lang w:eastAsia="en-GB"/>
              </w:rPr>
              <w:t xml:space="preserve">[indexation factor </w:t>
            </w:r>
            <w:r w:rsidR="00A2703F">
              <w:rPr>
                <w:rFonts w:ascii="Arial" w:hAnsi="Arial" w:cs="Arial"/>
                <w:sz w:val="20"/>
                <w:szCs w:val="20"/>
                <w:lang w:eastAsia="en-GB"/>
              </w:rPr>
              <w:t>×</w:t>
            </w:r>
            <w:r w:rsidR="00A2703F" w:rsidRPr="00AE58B0">
              <w:rPr>
                <w:rFonts w:ascii="Arial" w:hAnsi="Arial" w:cs="Arial"/>
                <w:sz w:val="20"/>
                <w:szCs w:val="20"/>
                <w:lang w:eastAsia="en-GB"/>
              </w:rPr>
              <w:t xml:space="preserve"> </w:t>
            </w:r>
            <w:r w:rsidRPr="00AE58B0">
              <w:rPr>
                <w:rFonts w:ascii="Arial" w:hAnsi="Arial" w:cs="Arial"/>
                <w:sz w:val="20"/>
                <w:szCs w:val="20"/>
                <w:lang w:eastAsia="en-GB"/>
              </w:rPr>
              <w:t>expenditure]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sidRPr="00AE58B0">
              <w:rPr>
                <w:rFonts w:ascii="Arial" w:hAnsi="Arial" w:cs="Arial"/>
                <w:sz w:val="20"/>
                <w:szCs w:val="20"/>
                <w:lang w:eastAsia="en-GB"/>
              </w:rPr>
              <w:t>Enhancement expenditure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r>
            <w:r w:rsidRPr="00AE58B0">
              <w:rPr>
                <w:rFonts w:ascii="Arial" w:hAnsi="Arial" w:cs="Arial"/>
                <w:sz w:val="20"/>
                <w:szCs w:val="20"/>
                <w:lang w:eastAsia="en-GB"/>
              </w:rPr>
              <w:t>Indexation allowance</w:t>
            </w: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X</w:t>
            </w: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r>
      <w:tr w:rsidR="0021462E" w:rsidTr="004B5E56">
        <w:trPr>
          <w:trHeight w:val="340"/>
        </w:trPr>
        <w:tc>
          <w:tcPr>
            <w:tcW w:w="6629" w:type="dxa"/>
            <w:shd w:val="clear" w:color="auto" w:fill="auto"/>
            <w:vAlign w:val="center"/>
          </w:tcPr>
          <w:p w:rsidR="0021462E" w:rsidRPr="00AE58B0" w:rsidRDefault="0021462E" w:rsidP="004B5E56">
            <w:pPr>
              <w:spacing w:before="100" w:beforeAutospacing="1" w:after="100" w:afterAutospacing="1" w:line="276" w:lineRule="auto"/>
              <w:rPr>
                <w:rFonts w:ascii="Arial" w:hAnsi="Arial" w:cs="Arial"/>
                <w:sz w:val="20"/>
                <w:szCs w:val="20"/>
                <w:lang w:eastAsia="en-GB"/>
              </w:rPr>
            </w:pPr>
          </w:p>
        </w:tc>
        <w:tc>
          <w:tcPr>
            <w:tcW w:w="850"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(Cost)</w:t>
            </w:r>
          </w:p>
        </w:tc>
      </w:tr>
      <w:tr w:rsidR="004B5E56" w:rsidTr="004B5E56">
        <w:trPr>
          <w:trHeight w:val="340"/>
        </w:trPr>
        <w:tc>
          <w:tcPr>
            <w:tcW w:w="6629" w:type="dxa"/>
            <w:shd w:val="clear" w:color="auto" w:fill="auto"/>
            <w:vAlign w:val="center"/>
          </w:tcPr>
          <w:p w:rsidR="0021462E" w:rsidRDefault="0021462E" w:rsidP="004B5E56">
            <w:pPr>
              <w:spacing w:line="276" w:lineRule="auto"/>
              <w:rPr>
                <w:rFonts w:ascii="Arial" w:hAnsi="Arial" w:cs="Arial"/>
                <w:b/>
              </w:rPr>
            </w:pPr>
            <w:r w:rsidRPr="00AE58B0">
              <w:rPr>
                <w:rFonts w:ascii="Arial" w:hAnsi="Arial" w:cs="Arial"/>
                <w:sz w:val="20"/>
                <w:szCs w:val="20"/>
                <w:lang w:eastAsia="en-GB"/>
              </w:rPr>
              <w:t>Chargeable gain</w:t>
            </w:r>
          </w:p>
        </w:tc>
        <w:tc>
          <w:tcPr>
            <w:tcW w:w="850" w:type="dxa"/>
            <w:shd w:val="clear" w:color="auto" w:fill="auto"/>
            <w:vAlign w:val="center"/>
          </w:tcPr>
          <w:p w:rsidR="0021462E" w:rsidRDefault="0021462E" w:rsidP="004B5E56">
            <w:pPr>
              <w:spacing w:line="276" w:lineRule="auto"/>
              <w:rPr>
                <w:rFonts w:ascii="Arial" w:hAnsi="Arial" w:cs="Arial"/>
                <w:b/>
              </w:rPr>
            </w:pPr>
          </w:p>
        </w:tc>
        <w:tc>
          <w:tcPr>
            <w:tcW w:w="851" w:type="dxa"/>
            <w:shd w:val="clear" w:color="auto" w:fill="auto"/>
            <w:vAlign w:val="center"/>
          </w:tcPr>
          <w:p w:rsidR="0021462E" w:rsidRPr="00AE58B0" w:rsidRDefault="0021462E" w:rsidP="004B5E56">
            <w:pPr>
              <w:spacing w:before="100" w:beforeAutospacing="1" w:after="100" w:afterAutospacing="1" w:line="276" w:lineRule="auto"/>
              <w:jc w:val="center"/>
              <w:rPr>
                <w:rFonts w:ascii="Arial" w:hAnsi="Arial" w:cs="Arial"/>
                <w:sz w:val="20"/>
                <w:szCs w:val="20"/>
                <w:lang w:eastAsia="en-GB"/>
              </w:rPr>
            </w:pPr>
            <w:r w:rsidRPr="00AE58B0">
              <w:rPr>
                <w:rFonts w:ascii="Arial" w:hAnsi="Arial" w:cs="Arial"/>
                <w:sz w:val="20"/>
                <w:szCs w:val="20"/>
                <w:lang w:eastAsia="en-GB"/>
              </w:rPr>
              <w:t>Gain</w:t>
            </w:r>
          </w:p>
        </w:tc>
      </w:tr>
    </w:tbl>
    <w:p w:rsidR="0021462E" w:rsidRPr="00AE58B0" w:rsidRDefault="0021462E" w:rsidP="004B5E56">
      <w:pPr>
        <w:spacing w:line="276" w:lineRule="auto"/>
        <w:rPr>
          <w:rFonts w:ascii="Arial" w:hAnsi="Arial" w:cs="Arial"/>
          <w:b/>
        </w:rPr>
      </w:pP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 xml:space="preserve">Indexation allowance is not available where there is an unindexed loss; nor can it turn an unindexed gain into an indexed loss. </w:t>
      </w:r>
      <w:r w:rsidRPr="0021462E">
        <w:rPr>
          <w:rFonts w:cs="Arial"/>
          <w:lang w:eastAsia="en-GB"/>
        </w:rPr>
        <w:br/>
      </w: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 xml:space="preserve">Note that companies do not get an annual exempt amount. </w:t>
      </w:r>
    </w:p>
    <w:p w:rsidR="0021462E" w:rsidRPr="0021462E" w:rsidRDefault="0021462E" w:rsidP="004B5E56">
      <w:pPr>
        <w:pStyle w:val="ListParagraph"/>
        <w:spacing w:before="100" w:beforeAutospacing="1" w:after="100" w:afterAutospacing="1" w:line="276" w:lineRule="auto"/>
        <w:rPr>
          <w:rFonts w:cs="Arial"/>
          <w:lang w:eastAsia="en-GB"/>
        </w:rPr>
      </w:pPr>
    </w:p>
    <w:p w:rsidR="0021462E" w:rsidRPr="0021462E" w:rsidRDefault="0021462E" w:rsidP="004B5E56">
      <w:pPr>
        <w:pStyle w:val="ListParagraph"/>
        <w:numPr>
          <w:ilvl w:val="0"/>
          <w:numId w:val="26"/>
        </w:numPr>
        <w:spacing w:before="100" w:beforeAutospacing="1" w:after="100" w:afterAutospacing="1" w:line="276" w:lineRule="auto"/>
        <w:rPr>
          <w:rFonts w:cs="Arial"/>
          <w:lang w:eastAsia="en-GB"/>
        </w:rPr>
      </w:pPr>
      <w:r w:rsidRPr="0021462E">
        <w:rPr>
          <w:rFonts w:cs="Arial"/>
          <w:lang w:eastAsia="en-GB"/>
        </w:rPr>
        <w:t>Losses relieved in order – current year first followed by losses brought forward.</w:t>
      </w:r>
    </w:p>
    <w:p w:rsidR="0021462E" w:rsidRPr="0021462E" w:rsidRDefault="0021462E" w:rsidP="004B5E56">
      <w:pPr>
        <w:pStyle w:val="ListParagraph"/>
        <w:spacing w:line="276" w:lineRule="auto"/>
        <w:rPr>
          <w:rFonts w:cs="Arial"/>
          <w:lang w:eastAsia="en-GB"/>
        </w:rPr>
      </w:pPr>
    </w:p>
    <w:p w:rsidR="0021462E" w:rsidRPr="0021462E" w:rsidRDefault="0021462E" w:rsidP="004B5E56">
      <w:pPr>
        <w:spacing w:line="276" w:lineRule="auto"/>
        <w:rPr>
          <w:rFonts w:ascii="Arial" w:hAnsi="Arial" w:cs="Arial"/>
          <w:b/>
          <w:sz w:val="20"/>
          <w:szCs w:val="20"/>
        </w:rPr>
      </w:pPr>
      <w:r w:rsidRPr="0021462E">
        <w:rPr>
          <w:rFonts w:ascii="Arial" w:hAnsi="Arial" w:cs="Arial"/>
          <w:b/>
          <w:sz w:val="20"/>
          <w:szCs w:val="20"/>
        </w:rPr>
        <w:t>Only relief available to companies is rollover relief:</w:t>
      </w:r>
    </w:p>
    <w:p w:rsidR="0021462E" w:rsidRPr="00AE58B0" w:rsidRDefault="0021462E" w:rsidP="004B5E56">
      <w:pPr>
        <w:spacing w:line="276" w:lineRule="auto"/>
        <w:rPr>
          <w:rFonts w:ascii="Arial" w:hAnsi="Arial" w:cs="Arial"/>
          <w:b/>
          <w:sz w:val="20"/>
          <w:szCs w:val="20"/>
        </w:rPr>
      </w:pPr>
    </w:p>
    <w:p w:rsidR="0021462E" w:rsidRPr="0021462E" w:rsidRDefault="0021462E" w:rsidP="004B5E56">
      <w:pPr>
        <w:pStyle w:val="NormalWeb"/>
        <w:numPr>
          <w:ilvl w:val="0"/>
          <w:numId w:val="11"/>
        </w:numPr>
        <w:spacing w:before="0" w:after="0" w:line="276" w:lineRule="auto"/>
        <w:ind w:left="714" w:hanging="357"/>
        <w:rPr>
          <w:rFonts w:ascii="Arial" w:hAnsi="Arial" w:cs="Arial"/>
          <w:sz w:val="20"/>
          <w:szCs w:val="20"/>
        </w:rPr>
      </w:pPr>
      <w:r w:rsidRPr="0021462E">
        <w:rPr>
          <w:rFonts w:ascii="Arial" w:hAnsi="Arial" w:cs="Arial"/>
          <w:sz w:val="20"/>
          <w:szCs w:val="20"/>
        </w:rPr>
        <w:t>Rollover relief is a deferral relief – see [Chargeable gains – reliefs available to individuals] for main rollover relief rules.</w:t>
      </w:r>
    </w:p>
    <w:p w:rsidR="0021462E" w:rsidRPr="0021462E" w:rsidRDefault="0021462E" w:rsidP="004B5E56">
      <w:pPr>
        <w:pStyle w:val="NormalWeb"/>
        <w:numPr>
          <w:ilvl w:val="0"/>
          <w:numId w:val="11"/>
        </w:numPr>
        <w:spacing w:before="0" w:after="0" w:line="276" w:lineRule="auto"/>
        <w:ind w:left="714" w:hanging="357"/>
        <w:rPr>
          <w:rFonts w:ascii="Arial" w:hAnsi="Arial" w:cs="Arial"/>
          <w:sz w:val="20"/>
          <w:szCs w:val="20"/>
        </w:rPr>
      </w:pPr>
      <w:r w:rsidRPr="0021462E">
        <w:rPr>
          <w:rFonts w:ascii="Arial" w:hAnsi="Arial" w:cs="Arial"/>
          <w:sz w:val="20"/>
          <w:szCs w:val="20"/>
        </w:rPr>
        <w:t>Key differences applying for companies:</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Indexation is given on disposal of the original asset.</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Goodwill is not a qualifying asset for companies.</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lang w:eastAsia="en-GB"/>
        </w:rPr>
      </w:pPr>
      <w:r w:rsidRPr="0021462E">
        <w:rPr>
          <w:rFonts w:ascii="Arial" w:hAnsi="Arial" w:cs="Arial"/>
          <w:sz w:val="20"/>
          <w:szCs w:val="20"/>
        </w:rPr>
        <w:t>Gain deferred is the indexed gain.</w:t>
      </w:r>
    </w:p>
    <w:p w:rsidR="0021462E" w:rsidRPr="0021462E" w:rsidRDefault="0021462E" w:rsidP="004B5E56">
      <w:pPr>
        <w:pStyle w:val="NormalWeb"/>
        <w:numPr>
          <w:ilvl w:val="0"/>
          <w:numId w:val="12"/>
        </w:numPr>
        <w:spacing w:before="0" w:after="0" w:line="276" w:lineRule="auto"/>
        <w:ind w:left="1135" w:hanging="284"/>
        <w:rPr>
          <w:rFonts w:ascii="Arial" w:hAnsi="Arial" w:cs="Arial"/>
          <w:sz w:val="20"/>
          <w:szCs w:val="20"/>
        </w:rPr>
      </w:pPr>
      <w:r w:rsidRPr="0021462E">
        <w:rPr>
          <w:rFonts w:ascii="Arial" w:hAnsi="Arial" w:cs="Arial"/>
          <w:sz w:val="20"/>
          <w:szCs w:val="20"/>
        </w:rPr>
        <w:t>On disposal of the replacement asset, indexation is calculated on the ‘base cost’ not actual cost.</w:t>
      </w:r>
    </w:p>
    <w:p w:rsidR="0021462E" w:rsidRPr="0021462E" w:rsidRDefault="0021462E" w:rsidP="004B5E56">
      <w:pPr>
        <w:spacing w:before="100" w:beforeAutospacing="1" w:after="100" w:afterAutospacing="1" w:line="276" w:lineRule="auto"/>
        <w:rPr>
          <w:rFonts w:cs="Arial"/>
          <w:sz w:val="22"/>
          <w:szCs w:val="22"/>
          <w:lang w:eastAsia="en-GB"/>
        </w:rPr>
      </w:pPr>
      <w:r w:rsidRPr="0021462E">
        <w:rPr>
          <w:rFonts w:cs="Arial"/>
          <w:b/>
          <w:lang w:eastAsia="en-GB"/>
        </w:rPr>
        <w:br/>
      </w:r>
    </w:p>
    <w:p w:rsidR="0021462E" w:rsidRPr="00DD0413" w:rsidRDefault="0021462E" w:rsidP="004B5E56">
      <w:pPr>
        <w:spacing w:line="276" w:lineRule="auto"/>
      </w:pPr>
    </w:p>
    <w:p w:rsidR="0021462E" w:rsidRDefault="0021462E" w:rsidP="004B5E56">
      <w:pPr>
        <w:spacing w:line="276" w:lineRule="auto"/>
        <w:rPr>
          <w:sz w:val="20"/>
          <w:szCs w:val="20"/>
        </w:rPr>
      </w:pPr>
      <w:r>
        <w:rPr>
          <w:sz w:val="20"/>
          <w:szCs w:val="20"/>
        </w:rPr>
        <w:br w:type="page"/>
      </w:r>
    </w:p>
    <w:p w:rsidR="0021462E" w:rsidRPr="00A71D64" w:rsidRDefault="0021462E" w:rsidP="004B5E56">
      <w:pPr>
        <w:spacing w:line="276" w:lineRule="auto"/>
        <w:rPr>
          <w:rFonts w:ascii="Arial" w:hAnsi="Arial" w:cs="Arial"/>
          <w:b/>
          <w:sz w:val="22"/>
          <w:szCs w:val="22"/>
        </w:rPr>
      </w:pPr>
      <w:r w:rsidRPr="00A71D64">
        <w:rPr>
          <w:rFonts w:ascii="Arial" w:hAnsi="Arial" w:cs="Arial"/>
          <w:b/>
          <w:sz w:val="22"/>
          <w:szCs w:val="22"/>
        </w:rPr>
        <w:t>Shares and securities – disposals by companies</w:t>
      </w:r>
    </w:p>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4B5E56">
        <w:rPr>
          <w:rFonts w:ascii="Arial" w:hAnsi="Arial" w:cs="Arial"/>
          <w:bCs/>
          <w:sz w:val="20"/>
          <w:szCs w:val="20"/>
          <w:lang w:eastAsia="en-GB"/>
        </w:rPr>
        <w:t>The identification rules</w:t>
      </w:r>
      <w:r w:rsidRPr="004B5E56">
        <w:rPr>
          <w:rFonts w:ascii="Arial" w:hAnsi="Arial" w:cs="Arial"/>
          <w:sz w:val="20"/>
          <w:szCs w:val="20"/>
          <w:lang w:eastAsia="en-GB"/>
        </w:rPr>
        <w:t xml:space="preserve"> - a</w:t>
      </w:r>
      <w:r w:rsidRPr="000F44D4">
        <w:rPr>
          <w:rFonts w:ascii="Arial" w:hAnsi="Arial" w:cs="Arial"/>
          <w:sz w:val="20"/>
          <w:szCs w:val="20"/>
          <w:lang w:eastAsia="en-GB"/>
        </w:rPr>
        <w:t xml:space="preserve"> disposal of shares is matched: </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r>
        <w:rPr>
          <w:rFonts w:cs="Arial"/>
          <w:lang w:eastAsia="en-GB"/>
        </w:rPr>
        <w:t>f</w:t>
      </w:r>
      <w:r w:rsidR="0021462E" w:rsidRPr="000F44D4">
        <w:rPr>
          <w:rFonts w:cs="Arial"/>
          <w:lang w:eastAsia="en-GB"/>
        </w:rPr>
        <w:t xml:space="preserve">irstly, with </w:t>
      </w:r>
      <w:r>
        <w:rPr>
          <w:rFonts w:cs="Arial"/>
          <w:lang w:eastAsia="en-GB"/>
        </w:rPr>
        <w:t>same-</w:t>
      </w:r>
      <w:r w:rsidR="0021462E" w:rsidRPr="004B5E56">
        <w:rPr>
          <w:rFonts w:cs="Arial"/>
          <w:lang w:eastAsia="en-GB"/>
        </w:rPr>
        <w:t>day transactions</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proofErr w:type="gramStart"/>
      <w:r>
        <w:rPr>
          <w:rFonts w:cs="Arial"/>
          <w:lang w:eastAsia="en-GB"/>
        </w:rPr>
        <w:t>s</w:t>
      </w:r>
      <w:r w:rsidR="0021462E" w:rsidRPr="004B5E56">
        <w:rPr>
          <w:rFonts w:cs="Arial"/>
          <w:lang w:eastAsia="en-GB"/>
        </w:rPr>
        <w:t>econdly</w:t>
      </w:r>
      <w:proofErr w:type="gramEnd"/>
      <w:r w:rsidR="0021462E" w:rsidRPr="004B5E56">
        <w:rPr>
          <w:rFonts w:cs="Arial"/>
          <w:lang w:eastAsia="en-GB"/>
        </w:rPr>
        <w:t>, with transactions in the previous 9 days (FIFO). No in</w:t>
      </w:r>
      <w:r>
        <w:rPr>
          <w:rFonts w:cs="Arial"/>
          <w:lang w:eastAsia="en-GB"/>
        </w:rPr>
        <w:t>dexation allowance is available</w:t>
      </w:r>
    </w:p>
    <w:p w:rsidR="0021462E" w:rsidRPr="004B5E56" w:rsidRDefault="004B5E56" w:rsidP="004B5E56">
      <w:pPr>
        <w:pStyle w:val="ListParagraph"/>
        <w:numPr>
          <w:ilvl w:val="0"/>
          <w:numId w:val="27"/>
        </w:numPr>
        <w:spacing w:before="100" w:beforeAutospacing="1" w:after="100" w:afterAutospacing="1" w:line="276" w:lineRule="auto"/>
        <w:rPr>
          <w:rFonts w:cs="Arial"/>
          <w:lang w:eastAsia="en-GB"/>
        </w:rPr>
      </w:pPr>
      <w:proofErr w:type="gramStart"/>
      <w:r>
        <w:rPr>
          <w:rFonts w:cs="Arial"/>
          <w:lang w:eastAsia="en-GB"/>
        </w:rPr>
        <w:t>t</w:t>
      </w:r>
      <w:r w:rsidR="0021462E" w:rsidRPr="004B5E56">
        <w:rPr>
          <w:rFonts w:cs="Arial"/>
          <w:lang w:eastAsia="en-GB"/>
        </w:rPr>
        <w:t>hirdly</w:t>
      </w:r>
      <w:proofErr w:type="gramEnd"/>
      <w:r w:rsidR="0021462E" w:rsidRPr="004B5E56">
        <w:rPr>
          <w:rFonts w:cs="Arial"/>
          <w:lang w:eastAsia="en-GB"/>
        </w:rPr>
        <w:t xml:space="preserve">, with shares from the 1985 pool (shares bought from 1 April 1982 onwards). </w:t>
      </w:r>
    </w:p>
    <w:tbl>
      <w:tblPr>
        <w:tblW w:w="0" w:type="auto"/>
        <w:tblCellSpacing w:w="0" w:type="dxa"/>
        <w:tblCellMar>
          <w:left w:w="0" w:type="dxa"/>
          <w:right w:w="0" w:type="dxa"/>
        </w:tblCellMar>
        <w:tblLook w:val="04A0" w:firstRow="1" w:lastRow="0" w:firstColumn="1" w:lastColumn="0" w:noHBand="0" w:noVBand="1"/>
      </w:tblPr>
      <w:tblGrid>
        <w:gridCol w:w="4518"/>
        <w:gridCol w:w="1153"/>
        <w:gridCol w:w="1384"/>
        <w:gridCol w:w="798"/>
        <w:gridCol w:w="537"/>
      </w:tblGrid>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b/>
                <w:sz w:val="20"/>
                <w:szCs w:val="20"/>
                <w:lang w:eastAsia="en-GB"/>
              </w:rPr>
              <w:t xml:space="preserve">1985 pool </w:t>
            </w:r>
            <w:r w:rsidR="00532720">
              <w:rPr>
                <w:rFonts w:ascii="Arial" w:hAnsi="Arial" w:cs="Arial"/>
                <w:b/>
                <w:sz w:val="20"/>
                <w:szCs w:val="20"/>
                <w:lang w:eastAsia="en-GB"/>
              </w:rPr>
              <w:t>–</w:t>
            </w:r>
            <w:r w:rsidRPr="000F44D4">
              <w:rPr>
                <w:rFonts w:ascii="Arial" w:hAnsi="Arial" w:cs="Arial"/>
                <w:b/>
                <w:sz w:val="20"/>
                <w:szCs w:val="20"/>
                <w:lang w:eastAsia="en-GB"/>
              </w:rPr>
              <w:t xml:space="preserve"> pro</w:t>
            </w:r>
            <w:r w:rsidR="00532720">
              <w:rPr>
                <w:rFonts w:ascii="Arial" w:hAnsi="Arial" w:cs="Arial"/>
                <w:b/>
                <w:sz w:val="20"/>
                <w:szCs w:val="20"/>
                <w:lang w:eastAsia="en-GB"/>
              </w:rPr>
              <w:t xml:space="preserve"> </w:t>
            </w:r>
            <w:r w:rsidRPr="000F44D4">
              <w:rPr>
                <w:rFonts w:ascii="Arial" w:hAnsi="Arial" w:cs="Arial"/>
                <w:b/>
                <w:sz w:val="20"/>
                <w:szCs w:val="20"/>
                <w:lang w:eastAsia="en-GB"/>
              </w:rPr>
              <w:t xml:space="preserve">forma working </w:t>
            </w:r>
          </w:p>
        </w:tc>
        <w:tc>
          <w:tcPr>
            <w:tcW w:w="1153" w:type="dxa"/>
            <w:vAlign w:val="center"/>
            <w:hideMark/>
          </w:tcPr>
          <w:p w:rsidR="0021462E" w:rsidRPr="000F44D4" w:rsidRDefault="0021462E" w:rsidP="004B5E56">
            <w:pPr>
              <w:spacing w:line="276" w:lineRule="auto"/>
              <w:jc w:val="center"/>
              <w:outlineLvl w:val="4"/>
              <w:rPr>
                <w:rFonts w:ascii="Arial" w:hAnsi="Arial" w:cs="Arial"/>
                <w:b/>
                <w:bCs/>
                <w:sz w:val="20"/>
                <w:szCs w:val="20"/>
                <w:lang w:eastAsia="en-GB"/>
              </w:rPr>
            </w:pPr>
          </w:p>
          <w:p w:rsidR="0021462E" w:rsidRPr="000F44D4" w:rsidRDefault="0021462E" w:rsidP="004B5E56">
            <w:pPr>
              <w:spacing w:line="276" w:lineRule="auto"/>
              <w:jc w:val="center"/>
              <w:outlineLvl w:val="4"/>
              <w:rPr>
                <w:rFonts w:ascii="Arial" w:hAnsi="Arial" w:cs="Arial"/>
                <w:b/>
                <w:bCs/>
                <w:sz w:val="20"/>
                <w:szCs w:val="20"/>
                <w:lang w:eastAsia="en-GB"/>
              </w:rPr>
            </w:pPr>
            <w:r w:rsidRPr="000F44D4">
              <w:rPr>
                <w:rFonts w:ascii="Arial" w:hAnsi="Arial" w:cs="Arial"/>
                <w:b/>
                <w:bCs/>
                <w:iCs/>
                <w:sz w:val="20"/>
                <w:szCs w:val="20"/>
                <w:lang w:eastAsia="en-GB"/>
              </w:rPr>
              <w:t>No.</w:t>
            </w:r>
          </w:p>
        </w:tc>
        <w:tc>
          <w:tcPr>
            <w:tcW w:w="1384" w:type="dxa"/>
            <w:vAlign w:val="center"/>
            <w:hideMark/>
          </w:tcPr>
          <w:p w:rsidR="0021462E" w:rsidRPr="000F44D4" w:rsidRDefault="0021462E" w:rsidP="004B5E56">
            <w:pPr>
              <w:spacing w:line="276" w:lineRule="auto"/>
              <w:jc w:val="center"/>
              <w:rPr>
                <w:rFonts w:ascii="Arial" w:hAnsi="Arial" w:cs="Arial"/>
                <w:b/>
                <w:sz w:val="20"/>
                <w:szCs w:val="20"/>
                <w:lang w:eastAsia="en-GB"/>
              </w:rPr>
            </w:pPr>
          </w:p>
          <w:p w:rsidR="0021462E" w:rsidRPr="000F44D4" w:rsidRDefault="0021462E" w:rsidP="004B5E56">
            <w:pPr>
              <w:spacing w:line="276" w:lineRule="auto"/>
              <w:jc w:val="center"/>
              <w:rPr>
                <w:rFonts w:ascii="Arial" w:hAnsi="Arial" w:cs="Arial"/>
                <w:b/>
                <w:iCs/>
                <w:sz w:val="20"/>
                <w:szCs w:val="20"/>
                <w:lang w:eastAsia="en-GB"/>
              </w:rPr>
            </w:pPr>
          </w:p>
          <w:p w:rsidR="0021462E" w:rsidRPr="000F44D4" w:rsidRDefault="0021462E" w:rsidP="004B5E56">
            <w:pPr>
              <w:spacing w:line="276" w:lineRule="auto"/>
              <w:jc w:val="center"/>
              <w:rPr>
                <w:rFonts w:ascii="Arial" w:hAnsi="Arial" w:cs="Arial"/>
                <w:b/>
                <w:sz w:val="20"/>
                <w:szCs w:val="20"/>
                <w:lang w:eastAsia="en-GB"/>
              </w:rPr>
            </w:pPr>
            <w:r w:rsidRPr="000F44D4">
              <w:rPr>
                <w:rFonts w:ascii="Arial" w:hAnsi="Arial" w:cs="Arial"/>
                <w:b/>
                <w:iCs/>
                <w:sz w:val="20"/>
                <w:szCs w:val="20"/>
                <w:lang w:eastAsia="en-GB"/>
              </w:rPr>
              <w:t>Cost</w:t>
            </w:r>
            <w:r w:rsidRPr="000F44D4">
              <w:rPr>
                <w:rFonts w:ascii="Arial" w:hAnsi="Arial" w:cs="Arial"/>
                <w:b/>
                <w:iCs/>
                <w:sz w:val="20"/>
                <w:szCs w:val="20"/>
                <w:lang w:eastAsia="en-GB"/>
              </w:rPr>
              <w:br/>
              <w:t>£</w:t>
            </w:r>
          </w:p>
        </w:tc>
        <w:tc>
          <w:tcPr>
            <w:tcW w:w="1335" w:type="dxa"/>
            <w:gridSpan w:val="2"/>
            <w:vAlign w:val="center"/>
            <w:hideMark/>
          </w:tcPr>
          <w:p w:rsidR="0021462E" w:rsidRPr="000F44D4" w:rsidRDefault="0021462E" w:rsidP="004B5E56">
            <w:pPr>
              <w:spacing w:line="276" w:lineRule="auto"/>
              <w:jc w:val="center"/>
              <w:rPr>
                <w:rFonts w:ascii="Arial" w:hAnsi="Arial" w:cs="Arial"/>
                <w:b/>
                <w:sz w:val="20"/>
                <w:szCs w:val="20"/>
                <w:lang w:eastAsia="en-GB"/>
              </w:rPr>
            </w:pPr>
          </w:p>
          <w:p w:rsidR="0021462E" w:rsidRPr="000F44D4" w:rsidRDefault="0021462E" w:rsidP="004B5E56">
            <w:pPr>
              <w:spacing w:line="276" w:lineRule="auto"/>
              <w:jc w:val="center"/>
              <w:rPr>
                <w:rFonts w:ascii="Arial" w:hAnsi="Arial" w:cs="Arial"/>
                <w:b/>
                <w:sz w:val="20"/>
                <w:szCs w:val="20"/>
                <w:lang w:eastAsia="en-GB"/>
              </w:rPr>
            </w:pPr>
            <w:r w:rsidRPr="000F44D4">
              <w:rPr>
                <w:rFonts w:ascii="Arial" w:hAnsi="Arial" w:cs="Arial"/>
                <w:b/>
                <w:iCs/>
                <w:sz w:val="20"/>
                <w:szCs w:val="20"/>
                <w:lang w:eastAsia="en-GB"/>
              </w:rPr>
              <w:t>Indexed cost</w:t>
            </w:r>
            <w:r w:rsidRPr="000F44D4">
              <w:rPr>
                <w:rFonts w:ascii="Arial" w:hAnsi="Arial" w:cs="Arial"/>
                <w:b/>
                <w:iCs/>
                <w:sz w:val="20"/>
                <w:szCs w:val="20"/>
                <w:lang w:eastAsia="en-GB"/>
              </w:rPr>
              <w:br/>
              <w:t>£</w:t>
            </w:r>
          </w:p>
        </w:tc>
      </w:tr>
      <w:tr w:rsidR="0021462E" w:rsidRPr="000F44D4" w:rsidTr="004B5E56">
        <w:trPr>
          <w:trHeight w:val="381"/>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Purchase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598"/>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Index to next operative event </w:t>
            </w:r>
          </w:p>
          <w:p w:rsidR="0021462E" w:rsidRPr="000F44D4" w:rsidRDefault="0021462E" w:rsidP="004B5E56">
            <w:pPr>
              <w:spacing w:line="276" w:lineRule="auto"/>
              <w:rPr>
                <w:rFonts w:ascii="Arial" w:hAnsi="Arial" w:cs="Arial"/>
                <w:sz w:val="20"/>
                <w:szCs w:val="20"/>
                <w:lang w:eastAsia="en-GB"/>
              </w:rPr>
            </w:pP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___</w:t>
            </w:r>
          </w:p>
        </w:tc>
      </w:tr>
      <w:tr w:rsidR="0021462E" w:rsidRPr="000F44D4" w:rsidTr="004B5E56">
        <w:trPr>
          <w:trHeight w:val="393"/>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596"/>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Operative event (purchase)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662"/>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Index to next operative event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___</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Operative event (sale) </w:t>
            </w:r>
          </w:p>
        </w:tc>
        <w:tc>
          <w:tcPr>
            <w:tcW w:w="1153" w:type="dxa"/>
            <w:vAlign w:val="center"/>
            <w:hideMark/>
          </w:tcPr>
          <w:p w:rsidR="0021462E" w:rsidRPr="000F44D4" w:rsidRDefault="0021462E" w:rsidP="004B5E56">
            <w:pPr>
              <w:spacing w:line="276" w:lineRule="auto"/>
              <w:jc w:val="center"/>
              <w:rPr>
                <w:rFonts w:ascii="Arial" w:hAnsi="Arial" w:cs="Arial"/>
                <w:sz w:val="20"/>
                <w:szCs w:val="20"/>
                <w:u w:val="single"/>
                <w:lang w:eastAsia="en-GB"/>
              </w:rPr>
            </w:pPr>
            <w:r w:rsidRPr="000F44D4">
              <w:rPr>
                <w:rFonts w:ascii="Arial" w:hAnsi="Arial" w:cs="Arial"/>
                <w:sz w:val="20"/>
                <w:szCs w:val="20"/>
                <w:u w:val="single"/>
                <w:lang w:eastAsia="en-GB"/>
              </w:rPr>
              <w:t>(X)</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u w:val="single"/>
                <w:lang w:eastAsia="en-GB"/>
              </w:rPr>
              <w:t>(X)</w:t>
            </w:r>
          </w:p>
        </w:tc>
        <w:tc>
          <w:tcPr>
            <w:tcW w:w="798" w:type="dxa"/>
            <w:vAlign w:val="center"/>
            <w:hideMark/>
          </w:tcPr>
          <w:p w:rsidR="0021462E" w:rsidRPr="000F44D4" w:rsidRDefault="0021462E" w:rsidP="004B5E56">
            <w:pPr>
              <w:spacing w:line="276" w:lineRule="auto"/>
              <w:jc w:val="right"/>
              <w:rPr>
                <w:rFonts w:ascii="Arial" w:hAnsi="Arial" w:cs="Arial"/>
                <w:sz w:val="20"/>
                <w:szCs w:val="20"/>
                <w:lang w:eastAsia="en-GB"/>
              </w:rPr>
            </w:pPr>
            <w:r w:rsidRPr="000F44D4">
              <w:rPr>
                <w:rFonts w:ascii="Arial" w:hAnsi="Arial" w:cs="Arial"/>
                <w:sz w:val="20"/>
                <w:szCs w:val="20"/>
                <w:u w:val="single"/>
                <w:lang w:eastAsia="en-GB"/>
              </w:rPr>
              <w:t>(X)</w:t>
            </w:r>
            <w:r w:rsidRPr="000F44D4">
              <w:rPr>
                <w:rFonts w:ascii="Arial" w:hAnsi="Arial" w:cs="Arial"/>
                <w:sz w:val="20"/>
                <w:szCs w:val="20"/>
                <w:lang w:eastAsia="en-GB"/>
              </w:rPr>
              <w:t xml:space="preserve"> </w:t>
            </w:r>
          </w:p>
        </w:tc>
        <w:tc>
          <w:tcPr>
            <w:tcW w:w="537" w:type="dxa"/>
            <w:vAlign w:val="center"/>
          </w:tcPr>
          <w:p w:rsidR="0021462E" w:rsidRPr="000F44D4" w:rsidRDefault="0021462E" w:rsidP="004B5E56">
            <w:pPr>
              <w:spacing w:line="276" w:lineRule="auto"/>
              <w:rPr>
                <w:rFonts w:ascii="Arial" w:hAnsi="Arial" w:cs="Arial"/>
                <w:sz w:val="20"/>
                <w:szCs w:val="20"/>
                <w:lang w:eastAsia="en-GB"/>
              </w:rPr>
            </w:pPr>
            <w:r w:rsidRPr="00577135">
              <w:rPr>
                <w:rFonts w:ascii="Arial" w:hAnsi="Arial" w:cs="Arial"/>
                <w:sz w:val="20"/>
                <w:szCs w:val="20"/>
                <w:lang w:eastAsia="en-GB"/>
              </w:rPr>
              <w:t>A</w:t>
            </w:r>
          </w:p>
        </w:tc>
      </w:tr>
      <w:tr w:rsidR="0021462E" w:rsidRPr="000F44D4" w:rsidTr="004B5E56">
        <w:trPr>
          <w:trHeight w:val="340"/>
          <w:tblCellSpacing w:w="0" w:type="dxa"/>
        </w:trPr>
        <w:tc>
          <w:tcPr>
            <w:tcW w:w="4518" w:type="dxa"/>
            <w:vAlign w:val="center"/>
            <w:hideMark/>
          </w:tcPr>
          <w:p w:rsidR="0021462E" w:rsidRPr="000F44D4" w:rsidRDefault="0021462E" w:rsidP="004B5E56">
            <w:pPr>
              <w:spacing w:line="276" w:lineRule="auto"/>
              <w:rPr>
                <w:rFonts w:ascii="Arial" w:hAnsi="Arial" w:cs="Arial"/>
                <w:sz w:val="20"/>
                <w:szCs w:val="20"/>
                <w:lang w:eastAsia="en-GB"/>
              </w:rPr>
            </w:pPr>
            <w:r w:rsidRPr="000F44D4">
              <w:rPr>
                <w:rFonts w:ascii="Arial" w:hAnsi="Arial" w:cs="Arial"/>
                <w:sz w:val="20"/>
                <w:szCs w:val="20"/>
                <w:lang w:eastAsia="en-GB"/>
              </w:rPr>
              <w:t xml:space="preserve">Pool carried forward </w:t>
            </w:r>
          </w:p>
        </w:tc>
        <w:tc>
          <w:tcPr>
            <w:tcW w:w="1153"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c>
          <w:tcPr>
            <w:tcW w:w="1384" w:type="dxa"/>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c>
          <w:tcPr>
            <w:tcW w:w="1335" w:type="dxa"/>
            <w:gridSpan w:val="2"/>
            <w:vAlign w:val="center"/>
            <w:hideMark/>
          </w:tcPr>
          <w:p w:rsidR="0021462E" w:rsidRPr="000F44D4" w:rsidRDefault="0021462E" w:rsidP="004B5E56">
            <w:pPr>
              <w:spacing w:line="276" w:lineRule="auto"/>
              <w:jc w:val="center"/>
              <w:rPr>
                <w:rFonts w:ascii="Arial" w:hAnsi="Arial" w:cs="Arial"/>
                <w:sz w:val="20"/>
                <w:szCs w:val="20"/>
                <w:lang w:eastAsia="en-GB"/>
              </w:rPr>
            </w:pPr>
            <w:r w:rsidRPr="000F44D4">
              <w:rPr>
                <w:rFonts w:ascii="Arial" w:hAnsi="Arial" w:cs="Arial"/>
                <w:sz w:val="20"/>
                <w:szCs w:val="20"/>
                <w:lang w:eastAsia="en-GB"/>
              </w:rPr>
              <w:t>X</w:t>
            </w:r>
            <w:r w:rsidRPr="000F44D4">
              <w:rPr>
                <w:rFonts w:ascii="Arial" w:hAnsi="Arial" w:cs="Arial"/>
                <w:sz w:val="20"/>
                <w:szCs w:val="20"/>
                <w:lang w:eastAsia="en-GB"/>
              </w:rPr>
              <w:br/>
              <w:t>===</w:t>
            </w:r>
          </w:p>
        </w:tc>
      </w:tr>
    </w:tbl>
    <w:p w:rsidR="0021462E" w:rsidRDefault="0021462E" w:rsidP="004B5E56">
      <w:pPr>
        <w:spacing w:line="276" w:lineRule="auto"/>
        <w:rPr>
          <w:rFonts w:ascii="Arial" w:hAnsi="Arial" w:cs="Arial"/>
          <w:b/>
          <w:sz w:val="20"/>
          <w:szCs w:val="20"/>
          <w:lang w:eastAsia="en-GB"/>
        </w:rPr>
      </w:pPr>
    </w:p>
    <w:p w:rsidR="0021462E" w:rsidRPr="004B5E56" w:rsidRDefault="0021462E" w:rsidP="004B5E56">
      <w:pPr>
        <w:spacing w:line="276" w:lineRule="auto"/>
        <w:rPr>
          <w:rFonts w:ascii="Arial" w:hAnsi="Arial" w:cs="Arial"/>
          <w:sz w:val="20"/>
          <w:szCs w:val="20"/>
          <w:lang w:eastAsia="en-GB"/>
        </w:rPr>
      </w:pPr>
      <w:r w:rsidRPr="004B5E56">
        <w:rPr>
          <w:rFonts w:ascii="Arial" w:hAnsi="Arial" w:cs="Arial"/>
          <w:sz w:val="20"/>
          <w:szCs w:val="20"/>
          <w:lang w:eastAsia="en-GB"/>
        </w:rPr>
        <w:t>Operative event = purchase, sale, rights issue. Bonus issue is not an operative event.</w:t>
      </w:r>
    </w:p>
    <w:p w:rsidR="0021462E" w:rsidRDefault="0021462E" w:rsidP="004B5E56">
      <w:pPr>
        <w:spacing w:line="276" w:lineRule="auto"/>
        <w:rPr>
          <w:rFonts w:ascii="Arial" w:hAnsi="Arial" w:cs="Arial"/>
          <w:b/>
          <w:bCs/>
          <w:sz w:val="20"/>
          <w:szCs w:val="20"/>
          <w:lang w:eastAsia="en-GB"/>
        </w:rPr>
      </w:pPr>
    </w:p>
    <w:p w:rsidR="0021462E" w:rsidRDefault="0021462E" w:rsidP="004B5E56">
      <w:pPr>
        <w:spacing w:line="276" w:lineRule="auto"/>
        <w:rPr>
          <w:rFonts w:ascii="Arial" w:hAnsi="Arial" w:cs="Arial"/>
          <w:sz w:val="20"/>
          <w:szCs w:val="20"/>
          <w:lang w:eastAsia="en-GB"/>
        </w:rPr>
      </w:pPr>
      <w:r w:rsidRPr="000F44D4">
        <w:rPr>
          <w:rFonts w:ascii="Arial" w:hAnsi="Arial" w:cs="Arial"/>
          <w:b/>
          <w:bCs/>
          <w:sz w:val="20"/>
          <w:szCs w:val="20"/>
          <w:lang w:eastAsia="en-GB"/>
        </w:rPr>
        <w:t>Computation</w:t>
      </w:r>
    </w:p>
    <w:tbl>
      <w:tblPr>
        <w:tblStyle w:val="TableGrid"/>
        <w:tblW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
      </w:tblGrid>
      <w:tr w:rsidR="0021462E" w:rsidTr="000F4D8D">
        <w:trPr>
          <w:cnfStyle w:val="100000000000" w:firstRow="1" w:lastRow="0" w:firstColumn="0" w:lastColumn="0" w:oddVBand="0" w:evenVBand="0" w:oddHBand="0" w:evenHBand="0" w:firstRowFirstColumn="0" w:firstRowLastColumn="0" w:lastRowFirstColumn="0" w:lastRowLastColumn="0"/>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  </w:t>
            </w:r>
          </w:p>
        </w:tc>
        <w:tc>
          <w:tcPr>
            <w:tcW w:w="708" w:type="dxa"/>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Proceeds </w:t>
            </w:r>
          </w:p>
        </w:tc>
        <w:tc>
          <w:tcPr>
            <w:tcW w:w="708" w:type="dxa"/>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Less indexed cost (A from pool) </w:t>
            </w:r>
          </w:p>
        </w:tc>
        <w:tc>
          <w:tcPr>
            <w:tcW w:w="708" w:type="dxa"/>
            <w:tcBorders>
              <w:bottom w:val="single" w:sz="4" w:space="0" w:color="auto"/>
            </w:tcBorders>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r w:rsidR="0021462E" w:rsidTr="000F4D8D">
        <w:trPr>
          <w:trHeight w:val="340"/>
        </w:trPr>
        <w:tc>
          <w:tcPr>
            <w:tcW w:w="3369" w:type="dxa"/>
            <w:shd w:val="clear" w:color="auto" w:fill="auto"/>
            <w:vAlign w:val="center"/>
          </w:tcPr>
          <w:p w:rsidR="0021462E" w:rsidRPr="000F44D4" w:rsidRDefault="0021462E" w:rsidP="004B5E56">
            <w:pPr>
              <w:spacing w:before="100" w:beforeAutospacing="1" w:after="100" w:afterAutospacing="1" w:line="276" w:lineRule="auto"/>
              <w:rPr>
                <w:rFonts w:ascii="Arial" w:hAnsi="Arial" w:cs="Arial"/>
                <w:sz w:val="20"/>
                <w:szCs w:val="20"/>
                <w:lang w:eastAsia="en-GB"/>
              </w:rPr>
            </w:pPr>
            <w:r w:rsidRPr="000F44D4">
              <w:rPr>
                <w:rFonts w:ascii="Arial" w:hAnsi="Arial" w:cs="Arial"/>
                <w:sz w:val="20"/>
                <w:szCs w:val="20"/>
                <w:lang w:eastAsia="en-GB"/>
              </w:rPr>
              <w:t xml:space="preserve">Indexed gain </w:t>
            </w:r>
          </w:p>
        </w:tc>
        <w:tc>
          <w:tcPr>
            <w:tcW w:w="708" w:type="dxa"/>
            <w:tcBorders>
              <w:bottom w:val="double" w:sz="4" w:space="0" w:color="auto"/>
            </w:tcBorders>
            <w:shd w:val="clear" w:color="auto" w:fill="auto"/>
            <w:vAlign w:val="center"/>
          </w:tcPr>
          <w:p w:rsidR="0021462E" w:rsidRPr="000F44D4" w:rsidRDefault="0021462E" w:rsidP="004B5E56">
            <w:pPr>
              <w:spacing w:before="100" w:beforeAutospacing="1" w:after="100" w:afterAutospacing="1" w:line="276" w:lineRule="auto"/>
              <w:jc w:val="center"/>
              <w:rPr>
                <w:rFonts w:ascii="Arial" w:hAnsi="Arial" w:cs="Arial"/>
                <w:sz w:val="20"/>
                <w:szCs w:val="20"/>
                <w:lang w:eastAsia="en-GB"/>
              </w:rPr>
            </w:pPr>
            <w:r w:rsidRPr="000F44D4">
              <w:rPr>
                <w:rFonts w:ascii="Arial" w:hAnsi="Arial" w:cs="Arial"/>
                <w:sz w:val="20"/>
                <w:szCs w:val="20"/>
                <w:lang w:eastAsia="en-GB"/>
              </w:rPr>
              <w:t xml:space="preserve">X </w:t>
            </w:r>
          </w:p>
        </w:tc>
      </w:tr>
    </w:tbl>
    <w:p w:rsidR="0021462E" w:rsidRPr="000F44D4" w:rsidRDefault="0021462E" w:rsidP="004B5E56">
      <w:pPr>
        <w:spacing w:line="276" w:lineRule="auto"/>
        <w:rPr>
          <w:rFonts w:ascii="Arial" w:hAnsi="Arial" w:cs="Arial"/>
          <w:sz w:val="20"/>
          <w:szCs w:val="20"/>
          <w:lang w:eastAsia="en-GB"/>
        </w:rPr>
      </w:pPr>
    </w:p>
    <w:p w:rsidR="0021462E" w:rsidRPr="000F44D4" w:rsidRDefault="0021462E" w:rsidP="004B5E56">
      <w:pPr>
        <w:pStyle w:val="NormalWeb"/>
        <w:spacing w:before="0" w:after="0" w:line="276" w:lineRule="auto"/>
        <w:rPr>
          <w:rFonts w:ascii="Arial" w:hAnsi="Arial" w:cs="Arial"/>
          <w:sz w:val="20"/>
          <w:szCs w:val="20"/>
        </w:rPr>
      </w:pPr>
    </w:p>
    <w:p w:rsidR="00041B7F" w:rsidRDefault="00041B7F" w:rsidP="004B5E56">
      <w:pPr>
        <w:spacing w:line="276" w:lineRule="auto"/>
        <w:rPr>
          <w:sz w:val="20"/>
          <w:szCs w:val="20"/>
        </w:rPr>
      </w:pPr>
    </w:p>
    <w:p w:rsidR="004B5E56" w:rsidRDefault="004B5E56" w:rsidP="004B5E56">
      <w:pPr>
        <w:spacing w:line="276" w:lineRule="auto"/>
        <w:rPr>
          <w:sz w:val="20"/>
          <w:szCs w:val="20"/>
        </w:rPr>
      </w:pPr>
      <w:r>
        <w:rPr>
          <w:sz w:val="20"/>
          <w:szCs w:val="20"/>
        </w:rPr>
        <w:br w:type="page"/>
      </w:r>
    </w:p>
    <w:p w:rsidR="004B5E56" w:rsidRPr="00A75DB7" w:rsidRDefault="004B5E56" w:rsidP="004B5E56">
      <w:pPr>
        <w:spacing w:line="276" w:lineRule="auto"/>
        <w:rPr>
          <w:rFonts w:ascii="Arial" w:hAnsi="Arial" w:cs="Arial"/>
          <w:b/>
        </w:rPr>
      </w:pPr>
      <w:r w:rsidRPr="00A75DB7">
        <w:rPr>
          <w:rFonts w:ascii="Arial" w:hAnsi="Arial" w:cs="Arial"/>
          <w:b/>
        </w:rPr>
        <w:t>The badges of trade</w:t>
      </w:r>
    </w:p>
    <w:p w:rsidR="004B5E56" w:rsidRPr="00A71D64" w:rsidRDefault="004B5E56" w:rsidP="004B5E56">
      <w:pPr>
        <w:spacing w:line="276" w:lineRule="auto"/>
        <w:rPr>
          <w:rFonts w:ascii="Arial" w:hAnsi="Arial" w:cs="Arial"/>
          <w:b/>
          <w:sz w:val="22"/>
          <w:szCs w:val="22"/>
        </w:rPr>
      </w:pPr>
    </w:p>
    <w:p w:rsidR="004B5E56" w:rsidRPr="00A75DB7" w:rsidRDefault="004B5E56" w:rsidP="004B5E56">
      <w:pPr>
        <w:spacing w:line="276" w:lineRule="auto"/>
        <w:ind w:firstLine="720"/>
        <w:rPr>
          <w:rFonts w:ascii="Arial" w:hAnsi="Arial" w:cs="Arial"/>
          <w:b/>
          <w:sz w:val="20"/>
          <w:szCs w:val="20"/>
        </w:rPr>
      </w:pPr>
      <w:r w:rsidRPr="00A75DB7">
        <w:rPr>
          <w:rFonts w:ascii="Arial" w:hAnsi="Arial" w:cs="Arial"/>
          <w:b/>
          <w:sz w:val="20"/>
          <w:szCs w:val="20"/>
        </w:rPr>
        <w:t>6 Badges of Trade</w:t>
      </w:r>
    </w:p>
    <w:p w:rsidR="004B5E56" w:rsidRPr="00A75DB7" w:rsidRDefault="004B5E56" w:rsidP="004B5E56">
      <w:pPr>
        <w:spacing w:line="276" w:lineRule="auto"/>
        <w:rPr>
          <w:rFonts w:ascii="Arial" w:hAnsi="Arial" w:cs="Arial"/>
          <w:b/>
          <w:sz w:val="20"/>
          <w:szCs w:val="20"/>
        </w:rPr>
      </w:pPr>
      <w:r w:rsidRPr="00A75DB7">
        <w:rPr>
          <w:rFonts w:ascii="Arial" w:hAnsi="Arial" w:cs="Arial"/>
          <w:b/>
          <w:sz w:val="20"/>
          <w:szCs w:val="20"/>
        </w:rPr>
        <w:tab/>
      </w:r>
      <w:r w:rsidRPr="00A75DB7">
        <w:rPr>
          <w:rFonts w:ascii="Arial" w:hAnsi="Arial" w:cs="Arial"/>
          <w:b/>
          <w:sz w:val="20"/>
          <w:szCs w:val="20"/>
        </w:rPr>
        <w:tab/>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Subject matter</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Ownership</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Frequency of transactions</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Improvement expenditure</w:t>
      </w:r>
    </w:p>
    <w:p w:rsidR="004B5E56" w:rsidRPr="00F82AD1" w:rsidRDefault="004B5E56" w:rsidP="004B5E56">
      <w:pPr>
        <w:pStyle w:val="ListParagraph"/>
        <w:numPr>
          <w:ilvl w:val="2"/>
          <w:numId w:val="28"/>
        </w:numPr>
        <w:spacing w:line="276" w:lineRule="auto"/>
        <w:ind w:left="1267"/>
        <w:rPr>
          <w:rFonts w:cs="Arial"/>
          <w:b/>
        </w:rPr>
      </w:pPr>
      <w:r w:rsidRPr="00F82AD1">
        <w:rPr>
          <w:rFonts w:cs="Arial"/>
        </w:rPr>
        <w:t>Reason for sale</w:t>
      </w:r>
      <w:r w:rsidRPr="00F82AD1">
        <w:rPr>
          <w:rFonts w:cs="Arial"/>
          <w:b/>
        </w:rPr>
        <w:tab/>
      </w:r>
    </w:p>
    <w:p w:rsidR="004B5E56" w:rsidRPr="00F82AD1" w:rsidRDefault="004B5E56" w:rsidP="004B5E56">
      <w:pPr>
        <w:pStyle w:val="ListParagraph"/>
        <w:numPr>
          <w:ilvl w:val="2"/>
          <w:numId w:val="28"/>
        </w:numPr>
        <w:spacing w:line="276" w:lineRule="auto"/>
        <w:ind w:left="1267"/>
        <w:rPr>
          <w:rFonts w:cs="Arial"/>
        </w:rPr>
      </w:pPr>
      <w:r w:rsidRPr="00F82AD1">
        <w:rPr>
          <w:rFonts w:cs="Arial"/>
        </w:rPr>
        <w:t>Motive for profit</w:t>
      </w:r>
    </w:p>
    <w:p w:rsidR="004B5E56" w:rsidRDefault="004B5E56" w:rsidP="004B5E56">
      <w:pPr>
        <w:spacing w:line="276" w:lineRule="auto"/>
        <w:rPr>
          <w:sz w:val="20"/>
          <w:szCs w:val="20"/>
        </w:rPr>
      </w:pPr>
      <w:r>
        <w:rPr>
          <w:sz w:val="20"/>
          <w:szCs w:val="20"/>
        </w:rPr>
        <w:br w:type="page"/>
      </w:r>
    </w:p>
    <w:p w:rsidR="004B5E56" w:rsidRPr="009725D1" w:rsidRDefault="004B5E56" w:rsidP="004B5E56">
      <w:pPr>
        <w:spacing w:line="276" w:lineRule="auto"/>
        <w:rPr>
          <w:rFonts w:ascii="Arial" w:hAnsi="Arial" w:cs="Arial"/>
          <w:b/>
        </w:rPr>
      </w:pPr>
      <w:r w:rsidRPr="009725D1">
        <w:rPr>
          <w:rFonts w:ascii="Arial" w:hAnsi="Arial" w:cs="Arial"/>
          <w:b/>
        </w:rPr>
        <w:t>Duties and responsibilities of a tax adviser</w:t>
      </w:r>
    </w:p>
    <w:p w:rsidR="004B5E56" w:rsidRPr="00A71D64" w:rsidRDefault="004B5E56" w:rsidP="004B5E56">
      <w:pPr>
        <w:pStyle w:val="ListParagraph"/>
        <w:spacing w:line="276" w:lineRule="auto"/>
        <w:rPr>
          <w:rFonts w:cs="Arial"/>
          <w:sz w:val="22"/>
          <w:szCs w:val="22"/>
        </w:rPr>
      </w:pP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Maintain client confidentiality at all times.</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AAT members must adopt an ethical approach and maintain an objective outlook.</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Give timely and constructive advice to clients.</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Honest and professional conduct with HMRC</w:t>
      </w:r>
      <w:r w:rsidRPr="00696FAD">
        <w:rPr>
          <w:rFonts w:ascii="Arial" w:hAnsi="Arial" w:cs="Arial"/>
          <w:sz w:val="20"/>
          <w:szCs w:val="20"/>
        </w:rPr>
        <w:br/>
      </w:r>
    </w:p>
    <w:p w:rsidR="004B5E56" w:rsidRPr="00696FAD" w:rsidRDefault="004B5E56" w:rsidP="004B5E56">
      <w:pPr>
        <w:pStyle w:val="NormalWeb"/>
        <w:numPr>
          <w:ilvl w:val="0"/>
          <w:numId w:val="11"/>
        </w:numPr>
        <w:spacing w:beforeAutospacing="1" w:afterAutospacing="1" w:line="276" w:lineRule="auto"/>
        <w:rPr>
          <w:rFonts w:ascii="Arial" w:hAnsi="Arial" w:cs="Arial"/>
          <w:sz w:val="20"/>
          <w:szCs w:val="20"/>
        </w:rPr>
      </w:pPr>
      <w:r w:rsidRPr="00696FAD">
        <w:rPr>
          <w:rFonts w:ascii="Arial" w:hAnsi="Arial" w:cs="Arial"/>
          <w:sz w:val="20"/>
          <w:szCs w:val="20"/>
        </w:rPr>
        <w:t>A tax advisor is liable to a £3,000 penalty if they assist in making an incorrect return.</w:t>
      </w:r>
    </w:p>
    <w:p w:rsidR="00430D6A" w:rsidRPr="00F35207" w:rsidRDefault="00430D6A" w:rsidP="004B5E56">
      <w:pPr>
        <w:spacing w:line="276" w:lineRule="auto"/>
        <w:rPr>
          <w:sz w:val="20"/>
          <w:szCs w:val="20"/>
        </w:rPr>
      </w:pPr>
    </w:p>
    <w:sectPr w:rsidR="00430D6A" w:rsidRPr="00F35207" w:rsidSect="00095857">
      <w:footerReference w:type="default" r:id="rId11"/>
      <w:pgSz w:w="11906" w:h="16838"/>
      <w:pgMar w:top="1418"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94" w:rsidRDefault="00816D94" w:rsidP="00816D94">
      <w:r>
        <w:separator/>
      </w:r>
    </w:p>
  </w:endnote>
  <w:endnote w:type="continuationSeparator" w:id="0">
    <w:p w:rsidR="00816D94" w:rsidRDefault="00816D94" w:rsidP="008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94" w:rsidRPr="00B071DC" w:rsidRDefault="00816D94" w:rsidP="00816D94">
    <w:pPr>
      <w:pStyle w:val="ListParagraph"/>
      <w:ind w:left="851"/>
      <w:rPr>
        <w:rFonts w:cs="Arial"/>
      </w:rPr>
    </w:pPr>
    <w:r w:rsidRPr="00B071DC">
      <w:rPr>
        <w:rFonts w:cs="Arial"/>
      </w:rPr>
      <w:t>Copyright © 2016 AAT</w:t>
    </w:r>
  </w:p>
  <w:p w:rsidR="00816D94" w:rsidRPr="00816D94" w:rsidRDefault="00816D94" w:rsidP="00816D94">
    <w:pPr>
      <w:ind w:left="851"/>
      <w:rPr>
        <w:rFonts w:ascii="Arial" w:hAnsi="Arial" w:cs="Arial"/>
        <w:color w:val="000000"/>
        <w:sz w:val="20"/>
        <w:szCs w:val="20"/>
      </w:rPr>
    </w:pPr>
    <w:r w:rsidRPr="00B071DC">
      <w:rPr>
        <w:rFonts w:ascii="Arial" w:hAnsi="Arial" w:cs="Arial"/>
        <w:sz w:val="20"/>
        <w:szCs w:val="20"/>
      </w:rPr>
      <w:t>All rights reserved. Reproduction is permitted for personal and educational use only. No part of this content may be reproduced or transmitted for commercial use without the copyright holder’s written consent.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94" w:rsidRPr="00816D94" w:rsidRDefault="00816D94" w:rsidP="00095857">
    <w:pPr>
      <w:pStyle w:val="ListParagraph"/>
      <w:tabs>
        <w:tab w:val="left" w:pos="9214"/>
      </w:tabs>
      <w:ind w:left="0"/>
      <w:rPr>
        <w:rFonts w:cs="Arial"/>
      </w:rPr>
    </w:pPr>
    <w:r w:rsidRPr="00B071DC">
      <w:rPr>
        <w:rFonts w:cs="Arial"/>
      </w:rPr>
      <w:t>Copyright © 2016 AAT</w:t>
    </w:r>
    <w:r w:rsidR="00095857">
      <w:rPr>
        <w:rFonts w:cs="Arial"/>
      </w:rPr>
      <w:tab/>
    </w:r>
    <w:r w:rsidR="00095857" w:rsidRPr="00095857">
      <w:rPr>
        <w:rFonts w:cs="Arial"/>
      </w:rPr>
      <w:fldChar w:fldCharType="begin"/>
    </w:r>
    <w:r w:rsidR="00095857" w:rsidRPr="00095857">
      <w:rPr>
        <w:rFonts w:cs="Arial"/>
      </w:rPr>
      <w:instrText xml:space="preserve"> PAGE   \* MERGEFORMAT </w:instrText>
    </w:r>
    <w:r w:rsidR="00095857" w:rsidRPr="00095857">
      <w:rPr>
        <w:rFonts w:cs="Arial"/>
      </w:rPr>
      <w:fldChar w:fldCharType="separate"/>
    </w:r>
    <w:r w:rsidR="005651FB">
      <w:rPr>
        <w:rFonts w:cs="Arial"/>
        <w:noProof/>
      </w:rPr>
      <w:t>4</w:t>
    </w:r>
    <w:r w:rsidR="00095857" w:rsidRPr="00095857">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94" w:rsidRDefault="00816D94" w:rsidP="00816D94">
      <w:r>
        <w:separator/>
      </w:r>
    </w:p>
  </w:footnote>
  <w:footnote w:type="continuationSeparator" w:id="0">
    <w:p w:rsidR="00816D94" w:rsidRDefault="00816D94" w:rsidP="00816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B97"/>
    <w:multiLevelType w:val="hybridMultilevel"/>
    <w:tmpl w:val="C776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F57A1"/>
    <w:multiLevelType w:val="hybridMultilevel"/>
    <w:tmpl w:val="8386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379B1"/>
    <w:multiLevelType w:val="hybridMultilevel"/>
    <w:tmpl w:val="86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342C1"/>
    <w:multiLevelType w:val="hybridMultilevel"/>
    <w:tmpl w:val="A9BC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F781F"/>
    <w:multiLevelType w:val="hybridMultilevel"/>
    <w:tmpl w:val="7E04D298"/>
    <w:lvl w:ilvl="0" w:tplc="08090001">
      <w:start w:val="1"/>
      <w:numFmt w:val="bullet"/>
      <w:lvlText w:val=""/>
      <w:lvlJc w:val="left"/>
      <w:pPr>
        <w:ind w:left="720" w:hanging="360"/>
      </w:pPr>
      <w:rPr>
        <w:rFonts w:ascii="Symbol" w:hAnsi="Symbol" w:hint="default"/>
      </w:rPr>
    </w:lvl>
    <w:lvl w:ilvl="1" w:tplc="7F2AD6B0">
      <w:start w:val="15"/>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01C39"/>
    <w:multiLevelType w:val="multilevel"/>
    <w:tmpl w:val="9EA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7E3E"/>
    <w:multiLevelType w:val="hybridMultilevel"/>
    <w:tmpl w:val="20DE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17253"/>
    <w:multiLevelType w:val="hybridMultilevel"/>
    <w:tmpl w:val="3822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1308C2"/>
    <w:multiLevelType w:val="hybridMultilevel"/>
    <w:tmpl w:val="7A38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646139"/>
    <w:multiLevelType w:val="hybridMultilevel"/>
    <w:tmpl w:val="04A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1129B"/>
    <w:multiLevelType w:val="hybridMultilevel"/>
    <w:tmpl w:val="0A2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994B6C"/>
    <w:multiLevelType w:val="hybridMultilevel"/>
    <w:tmpl w:val="3BD8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677865"/>
    <w:multiLevelType w:val="hybridMultilevel"/>
    <w:tmpl w:val="689E0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C95A50"/>
    <w:multiLevelType w:val="hybridMultilevel"/>
    <w:tmpl w:val="9A542208"/>
    <w:lvl w:ilvl="0" w:tplc="7F2AD6B0">
      <w:start w:val="15"/>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44F812B0"/>
    <w:multiLevelType w:val="hybridMultilevel"/>
    <w:tmpl w:val="393E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9D4729"/>
    <w:multiLevelType w:val="hybridMultilevel"/>
    <w:tmpl w:val="C558463A"/>
    <w:lvl w:ilvl="0" w:tplc="08090001">
      <w:start w:val="1"/>
      <w:numFmt w:val="bullet"/>
      <w:lvlText w:val=""/>
      <w:lvlJc w:val="left"/>
      <w:pPr>
        <w:ind w:left="720" w:hanging="360"/>
      </w:pPr>
      <w:rPr>
        <w:rFonts w:ascii="Symbol" w:hAnsi="Symbol" w:hint="default"/>
      </w:rPr>
    </w:lvl>
    <w:lvl w:ilvl="1" w:tplc="7F2AD6B0">
      <w:start w:val="15"/>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6CED"/>
    <w:multiLevelType w:val="hybridMultilevel"/>
    <w:tmpl w:val="59C4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442814"/>
    <w:multiLevelType w:val="hybridMultilevel"/>
    <w:tmpl w:val="5FD61556"/>
    <w:lvl w:ilvl="0" w:tplc="4B2A1C0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FC3806"/>
    <w:multiLevelType w:val="hybridMultilevel"/>
    <w:tmpl w:val="3D20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83211"/>
    <w:multiLevelType w:val="hybridMultilevel"/>
    <w:tmpl w:val="D7D0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2D3280"/>
    <w:multiLevelType w:val="hybridMultilevel"/>
    <w:tmpl w:val="3F0A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CD2D3D"/>
    <w:multiLevelType w:val="multilevel"/>
    <w:tmpl w:val="64C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143DE"/>
    <w:multiLevelType w:val="hybridMultilevel"/>
    <w:tmpl w:val="E7F2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07251C"/>
    <w:multiLevelType w:val="hybridMultilevel"/>
    <w:tmpl w:val="9DA0A074"/>
    <w:lvl w:ilvl="0" w:tplc="7F2AD6B0">
      <w:start w:val="15"/>
      <w:numFmt w:val="bullet"/>
      <w:lvlText w:val="-"/>
      <w:lvlJc w:val="left"/>
      <w:pPr>
        <w:ind w:left="1845" w:hanging="360"/>
      </w:pPr>
      <w:rPr>
        <w:rFonts w:ascii="Calibri" w:eastAsia="Times New Roman" w:hAnsi="Calibri" w:cs="Times New Roman"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4">
    <w:nsid w:val="6AF75A28"/>
    <w:multiLevelType w:val="hybridMultilevel"/>
    <w:tmpl w:val="F08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EC5C35"/>
    <w:multiLevelType w:val="hybridMultilevel"/>
    <w:tmpl w:val="1564023A"/>
    <w:lvl w:ilvl="0" w:tplc="459826BA">
      <w:start w:val="11"/>
      <w:numFmt w:val="bullet"/>
      <w:lvlText w:val="-"/>
      <w:lvlJc w:val="left"/>
      <w:pPr>
        <w:ind w:left="1830" w:hanging="360"/>
      </w:pPr>
      <w:rPr>
        <w:rFonts w:ascii="Calibri" w:eastAsia="Calibri" w:hAnsi="Calibri" w:cs="Times New Roman"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26">
    <w:nsid w:val="75A92B2D"/>
    <w:multiLevelType w:val="hybridMultilevel"/>
    <w:tmpl w:val="0BBC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560DD8"/>
    <w:multiLevelType w:val="multilevel"/>
    <w:tmpl w:val="9EA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7644FD"/>
    <w:multiLevelType w:val="hybridMultilevel"/>
    <w:tmpl w:val="92C4FFE4"/>
    <w:lvl w:ilvl="0" w:tplc="AF12E722">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CA0265"/>
    <w:multiLevelType w:val="hybridMultilevel"/>
    <w:tmpl w:val="DCFE9BAA"/>
    <w:lvl w:ilvl="0" w:tplc="9E581F2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134236"/>
    <w:multiLevelType w:val="hybridMultilevel"/>
    <w:tmpl w:val="8CB8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9"/>
  </w:num>
  <w:num w:numId="5">
    <w:abstractNumId w:val="15"/>
  </w:num>
  <w:num w:numId="6">
    <w:abstractNumId w:val="11"/>
  </w:num>
  <w:num w:numId="7">
    <w:abstractNumId w:val="14"/>
  </w:num>
  <w:num w:numId="8">
    <w:abstractNumId w:val="9"/>
  </w:num>
  <w:num w:numId="9">
    <w:abstractNumId w:val="7"/>
  </w:num>
  <w:num w:numId="10">
    <w:abstractNumId w:val="22"/>
  </w:num>
  <w:num w:numId="11">
    <w:abstractNumId w:val="12"/>
  </w:num>
  <w:num w:numId="12">
    <w:abstractNumId w:val="23"/>
  </w:num>
  <w:num w:numId="13">
    <w:abstractNumId w:val="27"/>
  </w:num>
  <w:num w:numId="14">
    <w:abstractNumId w:val="5"/>
  </w:num>
  <w:num w:numId="15">
    <w:abstractNumId w:val="25"/>
  </w:num>
  <w:num w:numId="16">
    <w:abstractNumId w:val="21"/>
  </w:num>
  <w:num w:numId="17">
    <w:abstractNumId w:val="18"/>
  </w:num>
  <w:num w:numId="18">
    <w:abstractNumId w:val="26"/>
  </w:num>
  <w:num w:numId="19">
    <w:abstractNumId w:val="6"/>
  </w:num>
  <w:num w:numId="20">
    <w:abstractNumId w:val="1"/>
  </w:num>
  <w:num w:numId="21">
    <w:abstractNumId w:val="30"/>
  </w:num>
  <w:num w:numId="22">
    <w:abstractNumId w:val="3"/>
  </w:num>
  <w:num w:numId="23">
    <w:abstractNumId w:val="0"/>
  </w:num>
  <w:num w:numId="24">
    <w:abstractNumId w:val="2"/>
  </w:num>
  <w:num w:numId="25">
    <w:abstractNumId w:val="13"/>
  </w:num>
  <w:num w:numId="26">
    <w:abstractNumId w:val="16"/>
  </w:num>
  <w:num w:numId="27">
    <w:abstractNumId w:val="20"/>
  </w:num>
  <w:num w:numId="28">
    <w:abstractNumId w:val="24"/>
  </w:num>
  <w:num w:numId="29">
    <w:abstractNumId w:val="29"/>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07"/>
    <w:rsid w:val="00041B7F"/>
    <w:rsid w:val="0004358A"/>
    <w:rsid w:val="00063F8D"/>
    <w:rsid w:val="0009126E"/>
    <w:rsid w:val="00095857"/>
    <w:rsid w:val="00095D72"/>
    <w:rsid w:val="000F4D8D"/>
    <w:rsid w:val="001271F9"/>
    <w:rsid w:val="001463A8"/>
    <w:rsid w:val="001B085A"/>
    <w:rsid w:val="001B633C"/>
    <w:rsid w:val="001B7411"/>
    <w:rsid w:val="001F2527"/>
    <w:rsid w:val="00205D09"/>
    <w:rsid w:val="0021462E"/>
    <w:rsid w:val="00217F6B"/>
    <w:rsid w:val="00233B2B"/>
    <w:rsid w:val="002347E8"/>
    <w:rsid w:val="00246F84"/>
    <w:rsid w:val="0024784A"/>
    <w:rsid w:val="002617CD"/>
    <w:rsid w:val="002650A4"/>
    <w:rsid w:val="002A496D"/>
    <w:rsid w:val="002C55D1"/>
    <w:rsid w:val="002D51ED"/>
    <w:rsid w:val="002F57DC"/>
    <w:rsid w:val="0035124F"/>
    <w:rsid w:val="00366D3F"/>
    <w:rsid w:val="0037128C"/>
    <w:rsid w:val="00382EA0"/>
    <w:rsid w:val="00385125"/>
    <w:rsid w:val="003A3532"/>
    <w:rsid w:val="003B2150"/>
    <w:rsid w:val="003C01E6"/>
    <w:rsid w:val="003C71BA"/>
    <w:rsid w:val="00415B55"/>
    <w:rsid w:val="00424F63"/>
    <w:rsid w:val="00427BBA"/>
    <w:rsid w:val="00430D6A"/>
    <w:rsid w:val="00466420"/>
    <w:rsid w:val="00482A46"/>
    <w:rsid w:val="004917AF"/>
    <w:rsid w:val="004B5E56"/>
    <w:rsid w:val="004F417A"/>
    <w:rsid w:val="005169C0"/>
    <w:rsid w:val="00527E7F"/>
    <w:rsid w:val="00532720"/>
    <w:rsid w:val="00553C55"/>
    <w:rsid w:val="005651FB"/>
    <w:rsid w:val="005770AC"/>
    <w:rsid w:val="005810D6"/>
    <w:rsid w:val="005E0912"/>
    <w:rsid w:val="005F7847"/>
    <w:rsid w:val="00646FF4"/>
    <w:rsid w:val="00662E3C"/>
    <w:rsid w:val="00701E9F"/>
    <w:rsid w:val="007068D9"/>
    <w:rsid w:val="007102BD"/>
    <w:rsid w:val="00735E86"/>
    <w:rsid w:val="00744D59"/>
    <w:rsid w:val="0075439D"/>
    <w:rsid w:val="00770ECA"/>
    <w:rsid w:val="00772F73"/>
    <w:rsid w:val="007A0075"/>
    <w:rsid w:val="007B4C8A"/>
    <w:rsid w:val="008142F2"/>
    <w:rsid w:val="00816D94"/>
    <w:rsid w:val="00854AFE"/>
    <w:rsid w:val="008842C2"/>
    <w:rsid w:val="008A02E7"/>
    <w:rsid w:val="008A63E2"/>
    <w:rsid w:val="008C415C"/>
    <w:rsid w:val="008C53B9"/>
    <w:rsid w:val="008E3C88"/>
    <w:rsid w:val="008F6B3C"/>
    <w:rsid w:val="00911D6B"/>
    <w:rsid w:val="00921C44"/>
    <w:rsid w:val="00922F49"/>
    <w:rsid w:val="00935F00"/>
    <w:rsid w:val="00937BC9"/>
    <w:rsid w:val="009743C4"/>
    <w:rsid w:val="009C3BAE"/>
    <w:rsid w:val="00A06706"/>
    <w:rsid w:val="00A242D0"/>
    <w:rsid w:val="00A2703F"/>
    <w:rsid w:val="00A27EF5"/>
    <w:rsid w:val="00A35B1E"/>
    <w:rsid w:val="00A91322"/>
    <w:rsid w:val="00AA48F0"/>
    <w:rsid w:val="00AC7BD6"/>
    <w:rsid w:val="00AD44A5"/>
    <w:rsid w:val="00B22F79"/>
    <w:rsid w:val="00B50789"/>
    <w:rsid w:val="00B55DA5"/>
    <w:rsid w:val="00B87492"/>
    <w:rsid w:val="00BD3842"/>
    <w:rsid w:val="00BE68BE"/>
    <w:rsid w:val="00C6342D"/>
    <w:rsid w:val="00C7044B"/>
    <w:rsid w:val="00C70938"/>
    <w:rsid w:val="00D542DF"/>
    <w:rsid w:val="00D8668C"/>
    <w:rsid w:val="00D91F03"/>
    <w:rsid w:val="00DA5A76"/>
    <w:rsid w:val="00DA695E"/>
    <w:rsid w:val="00DB0E1B"/>
    <w:rsid w:val="00DC2D51"/>
    <w:rsid w:val="00DD1316"/>
    <w:rsid w:val="00E56BC8"/>
    <w:rsid w:val="00E60B9E"/>
    <w:rsid w:val="00E86509"/>
    <w:rsid w:val="00E91854"/>
    <w:rsid w:val="00E92DCF"/>
    <w:rsid w:val="00ED16C8"/>
    <w:rsid w:val="00ED39D5"/>
    <w:rsid w:val="00ED6218"/>
    <w:rsid w:val="00F17819"/>
    <w:rsid w:val="00F35207"/>
    <w:rsid w:val="00F7086F"/>
    <w:rsid w:val="00F96074"/>
    <w:rsid w:val="00F973DB"/>
    <w:rsid w:val="00FC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207"/>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rsid w:val="005972D8"/>
    <w:pPr>
      <w:keepNext/>
      <w:keepLines/>
      <w:spacing w:before="480"/>
      <w:outlineLvl w:val="0"/>
    </w:pPr>
    <w:rPr>
      <w:rFonts w:ascii="Arial" w:eastAsiaTheme="majorEastAsia" w:hAnsi="Arial" w:cstheme="majorBidi"/>
      <w:bCs/>
      <w:color w:val="000000" w:themeColor="text1"/>
      <w:sz w:val="36"/>
      <w:szCs w:val="28"/>
    </w:rPr>
  </w:style>
  <w:style w:type="paragraph" w:styleId="Heading2">
    <w:name w:val="heading 2"/>
    <w:basedOn w:val="Normal"/>
    <w:next w:val="Normal"/>
    <w:link w:val="Heading2Char"/>
    <w:uiPriority w:val="9"/>
    <w:unhideWhenUsed/>
    <w:qFormat/>
    <w:rsid w:val="005972D8"/>
    <w:pPr>
      <w:keepNext/>
      <w:keepLines/>
      <w:spacing w:before="200"/>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unhideWhenUsed/>
    <w:qFormat/>
    <w:rsid w:val="001373CA"/>
    <w:pPr>
      <w:keepNext/>
      <w:keepLines/>
      <w:spacing w:before="200"/>
      <w:outlineLvl w:val="2"/>
    </w:pPr>
    <w:rPr>
      <w:rFonts w:ascii="Arial" w:eastAsiaTheme="majorEastAsia" w:hAnsi="Arial" w:cstheme="majorBidi"/>
      <w:bCs/>
      <w:color w:val="000000" w:themeColor="text1"/>
      <w:sz w:val="20"/>
      <w:szCs w:val="20"/>
    </w:rPr>
  </w:style>
  <w:style w:type="paragraph" w:styleId="Heading6">
    <w:name w:val="heading 6"/>
    <w:basedOn w:val="Normal"/>
    <w:next w:val="Normal"/>
    <w:link w:val="Heading6Char"/>
    <w:semiHidden/>
    <w:unhideWhenUsed/>
    <w:qFormat/>
    <w:rsid w:val="00041B7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D8"/>
    <w:rPr>
      <w:rFonts w:eastAsiaTheme="majorEastAsia" w:cstheme="majorBidi"/>
      <w:bCs/>
      <w:color w:val="000000" w:themeColor="text1"/>
      <w:sz w:val="36"/>
      <w:szCs w:val="28"/>
    </w:rPr>
  </w:style>
  <w:style w:type="character" w:customStyle="1" w:styleId="Heading2Char">
    <w:name w:val="Heading 2 Char"/>
    <w:basedOn w:val="DefaultParagraphFont"/>
    <w:link w:val="Heading2"/>
    <w:uiPriority w:val="9"/>
    <w:rsid w:val="005972D8"/>
    <w:rPr>
      <w:rFonts w:eastAsiaTheme="majorEastAsia" w:cstheme="majorBidi"/>
      <w:b/>
      <w:bCs/>
      <w:color w:val="000000" w:themeColor="text1"/>
      <w:sz w:val="24"/>
      <w:szCs w:val="26"/>
    </w:rPr>
  </w:style>
  <w:style w:type="character" w:customStyle="1" w:styleId="Heading1GreenChar">
    <w:name w:val="Heading 1 Green Char"/>
    <w:basedOn w:val="DefaultParagraphFont"/>
    <w:link w:val="Heading1Green"/>
    <w:uiPriority w:val="9"/>
    <w:rsid w:val="003C75FD"/>
    <w:rPr>
      <w:color w:val="00AB4E"/>
      <w:sz w:val="36"/>
    </w:rPr>
  </w:style>
  <w:style w:type="paragraph" w:customStyle="1" w:styleId="Heading1Green">
    <w:name w:val="Heading 1 Green"/>
    <w:basedOn w:val="Normal"/>
    <w:next w:val="Normal"/>
    <w:link w:val="Heading1GreenChar"/>
    <w:uiPriority w:val="9"/>
    <w:qFormat/>
    <w:rsid w:val="005972D8"/>
    <w:rPr>
      <w:rFonts w:ascii="Arial" w:eastAsiaTheme="minorHAnsi" w:hAnsi="Arial" w:cstheme="minorBidi"/>
      <w:color w:val="00AB4E"/>
      <w:sz w:val="36"/>
      <w:szCs w:val="20"/>
    </w:rPr>
  </w:style>
  <w:style w:type="character" w:customStyle="1" w:styleId="Heading3Char">
    <w:name w:val="Heading 3 Char"/>
    <w:basedOn w:val="DefaultParagraphFont"/>
    <w:link w:val="Heading3"/>
    <w:uiPriority w:val="9"/>
    <w:rsid w:val="001373CA"/>
    <w:rPr>
      <w:rFonts w:eastAsiaTheme="majorEastAsia" w:cstheme="majorBidi"/>
      <w:bCs/>
    </w:rPr>
  </w:style>
  <w:style w:type="paragraph" w:styleId="Title">
    <w:name w:val="Title"/>
    <w:aliases w:val="Cover Page Title"/>
    <w:basedOn w:val="Normal"/>
    <w:next w:val="Normal"/>
    <w:link w:val="TitleChar"/>
    <w:uiPriority w:val="8"/>
    <w:qFormat/>
    <w:rsid w:val="005972D8"/>
    <w:rPr>
      <w:rFonts w:ascii="Arial" w:eastAsiaTheme="majorEastAsia" w:hAnsi="Arial" w:cstheme="majorBidi"/>
      <w:color w:val="000000" w:themeColor="text1"/>
      <w:spacing w:val="5"/>
      <w:kern w:val="28"/>
      <w:sz w:val="80"/>
      <w:szCs w:val="52"/>
    </w:rPr>
  </w:style>
  <w:style w:type="character" w:customStyle="1" w:styleId="TitleChar">
    <w:name w:val="Title Char"/>
    <w:aliases w:val="Cover Page Title Char"/>
    <w:basedOn w:val="DefaultParagraphFont"/>
    <w:link w:val="Title"/>
    <w:uiPriority w:val="8"/>
    <w:rsid w:val="003C75FD"/>
    <w:rPr>
      <w:rFonts w:eastAsiaTheme="majorEastAsia" w:cstheme="majorBidi"/>
      <w:spacing w:val="5"/>
      <w:kern w:val="28"/>
      <w:sz w:val="80"/>
      <w:szCs w:val="52"/>
    </w:rPr>
  </w:style>
  <w:style w:type="paragraph" w:customStyle="1" w:styleId="Footnotes">
    <w:name w:val="Footnotes"/>
    <w:basedOn w:val="Normal"/>
    <w:next w:val="Normal"/>
    <w:link w:val="FootnotesChar"/>
    <w:uiPriority w:val="10"/>
    <w:qFormat/>
    <w:rsid w:val="005972D8"/>
    <w:rPr>
      <w:rFonts w:ascii="Arial" w:eastAsiaTheme="minorHAnsi" w:hAnsi="Arial" w:cstheme="minorBidi"/>
      <w:color w:val="000000" w:themeColor="text1"/>
      <w:sz w:val="16"/>
      <w:szCs w:val="20"/>
    </w:rPr>
  </w:style>
  <w:style w:type="character" w:customStyle="1" w:styleId="FootnotesChar">
    <w:name w:val="Footnotes Char"/>
    <w:basedOn w:val="DefaultParagraphFont"/>
    <w:link w:val="Footnotes"/>
    <w:uiPriority w:val="10"/>
    <w:rsid w:val="003C75FD"/>
    <w:rPr>
      <w:sz w:val="16"/>
    </w:rPr>
  </w:style>
  <w:style w:type="paragraph" w:customStyle="1" w:styleId="HyperlinksEmailAddresses">
    <w:name w:val="Hyperlinks/Email Addresses"/>
    <w:basedOn w:val="Normal"/>
    <w:next w:val="Normal"/>
    <w:link w:val="HyperlinksEmailAddressesChar"/>
    <w:uiPriority w:val="1"/>
    <w:qFormat/>
    <w:rsid w:val="005972D8"/>
    <w:rPr>
      <w:rFonts w:ascii="Arial" w:eastAsiaTheme="minorHAnsi" w:hAnsi="Arial" w:cstheme="minorBidi"/>
      <w:b/>
      <w:color w:val="00AB4E"/>
      <w:sz w:val="20"/>
      <w:szCs w:val="20"/>
    </w:rPr>
  </w:style>
  <w:style w:type="character" w:customStyle="1" w:styleId="HyperlinksEmailAddressesChar">
    <w:name w:val="Hyperlinks/Email Addresses Char"/>
    <w:basedOn w:val="DefaultParagraphFont"/>
    <w:link w:val="HyperlinksEmailAddresses"/>
    <w:uiPriority w:val="1"/>
    <w:rsid w:val="003C75FD"/>
    <w:rPr>
      <w:b/>
      <w:color w:val="00AB4E"/>
    </w:rPr>
  </w:style>
  <w:style w:type="paragraph" w:styleId="ListParagraph">
    <w:name w:val="List Paragraph"/>
    <w:basedOn w:val="Normal"/>
    <w:uiPriority w:val="34"/>
    <w:qFormat/>
    <w:rsid w:val="00D60C71"/>
    <w:pPr>
      <w:ind w:left="720"/>
      <w:contextualSpacing/>
    </w:pPr>
    <w:rPr>
      <w:rFonts w:ascii="Arial" w:eastAsiaTheme="minorHAnsi" w:hAnsi="Arial" w:cstheme="minorBidi"/>
      <w:color w:val="000000" w:themeColor="text1"/>
      <w:sz w:val="20"/>
      <w:szCs w:val="20"/>
    </w:rPr>
  </w:style>
  <w:style w:type="numbering" w:customStyle="1" w:styleId="AATListStyle">
    <w:name w:val="AAT List Style"/>
    <w:uiPriority w:val="99"/>
    <w:rsid w:val="003A6DCC"/>
  </w:style>
  <w:style w:type="table" w:styleId="TableGrid">
    <w:name w:val="Table Grid"/>
    <w:basedOn w:val="TableNormal"/>
    <w:uiPriority w:val="5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FBFBF" w:themeFill="background1" w:themeFillShade="BF"/>
      </w:tcPr>
    </w:tblStylePr>
  </w:style>
  <w:style w:type="table" w:customStyle="1" w:styleId="AATTableStyle">
    <w:name w:val="AAT Table Style"/>
    <w:basedOn w:val="TableNormal"/>
    <w:uiPriority w:val="9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Pr/>
      <w:tcPr>
        <w:shd w:val="clear" w:color="auto" w:fill="BFBFBF" w:themeFill="background1" w:themeFillShade="BF"/>
      </w:tcPr>
    </w:tblStylePr>
  </w:style>
  <w:style w:type="character" w:customStyle="1" w:styleId="Heading6Char">
    <w:name w:val="Heading 6 Char"/>
    <w:basedOn w:val="DefaultParagraphFont"/>
    <w:link w:val="Heading6"/>
    <w:semiHidden/>
    <w:rsid w:val="00041B7F"/>
    <w:rPr>
      <w:rFonts w:ascii="Calibri" w:eastAsia="Times New Roman" w:hAnsi="Calibri" w:cs="Times New Roman"/>
      <w:b/>
      <w:bCs/>
      <w:color w:val="auto"/>
      <w:sz w:val="22"/>
      <w:szCs w:val="22"/>
    </w:rPr>
  </w:style>
  <w:style w:type="paragraph" w:styleId="NormalWeb">
    <w:name w:val="Normal (Web)"/>
    <w:basedOn w:val="Normal"/>
    <w:uiPriority w:val="99"/>
    <w:rsid w:val="00041B7F"/>
    <w:pPr>
      <w:spacing w:before="100" w:after="100"/>
    </w:pPr>
    <w:rPr>
      <w:kern w:val="1"/>
      <w:lang w:val="en-US" w:eastAsia="ar-SA"/>
    </w:rPr>
  </w:style>
  <w:style w:type="character" w:styleId="CommentReference">
    <w:name w:val="annotation reference"/>
    <w:basedOn w:val="DefaultParagraphFont"/>
    <w:uiPriority w:val="99"/>
    <w:semiHidden/>
    <w:unhideWhenUsed/>
    <w:rsid w:val="00063F8D"/>
    <w:rPr>
      <w:sz w:val="16"/>
      <w:szCs w:val="16"/>
    </w:rPr>
  </w:style>
  <w:style w:type="paragraph" w:styleId="CommentText">
    <w:name w:val="annotation text"/>
    <w:basedOn w:val="Normal"/>
    <w:link w:val="CommentTextChar"/>
    <w:uiPriority w:val="99"/>
    <w:semiHidden/>
    <w:unhideWhenUsed/>
    <w:rsid w:val="00063F8D"/>
    <w:rPr>
      <w:sz w:val="20"/>
      <w:szCs w:val="20"/>
    </w:rPr>
  </w:style>
  <w:style w:type="character" w:customStyle="1" w:styleId="CommentTextChar">
    <w:name w:val="Comment Text Char"/>
    <w:basedOn w:val="DefaultParagraphFont"/>
    <w:link w:val="CommentText"/>
    <w:uiPriority w:val="99"/>
    <w:semiHidden/>
    <w:rsid w:val="00063F8D"/>
    <w:rPr>
      <w:rFonts w:ascii="Times New Roman" w:eastAsia="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063F8D"/>
    <w:rPr>
      <w:b/>
      <w:bCs/>
    </w:rPr>
  </w:style>
  <w:style w:type="character" w:customStyle="1" w:styleId="CommentSubjectChar">
    <w:name w:val="Comment Subject Char"/>
    <w:basedOn w:val="CommentTextChar"/>
    <w:link w:val="CommentSubject"/>
    <w:uiPriority w:val="99"/>
    <w:semiHidden/>
    <w:rsid w:val="00063F8D"/>
    <w:rPr>
      <w:rFonts w:ascii="Times New Roman" w:eastAsia="Times New Roman" w:hAnsi="Times New Roman" w:cs="Times New Roman"/>
      <w:b/>
      <w:bCs/>
      <w:color w:val="auto"/>
    </w:rPr>
  </w:style>
  <w:style w:type="paragraph" w:styleId="BalloonText">
    <w:name w:val="Balloon Text"/>
    <w:basedOn w:val="Normal"/>
    <w:link w:val="BalloonTextChar"/>
    <w:uiPriority w:val="99"/>
    <w:semiHidden/>
    <w:unhideWhenUsed/>
    <w:rsid w:val="00063F8D"/>
    <w:rPr>
      <w:rFonts w:ascii="Tahoma" w:hAnsi="Tahoma" w:cs="Tahoma"/>
      <w:sz w:val="16"/>
      <w:szCs w:val="16"/>
    </w:rPr>
  </w:style>
  <w:style w:type="character" w:customStyle="1" w:styleId="BalloonTextChar">
    <w:name w:val="Balloon Text Char"/>
    <w:basedOn w:val="DefaultParagraphFont"/>
    <w:link w:val="BalloonText"/>
    <w:uiPriority w:val="99"/>
    <w:semiHidden/>
    <w:rsid w:val="00063F8D"/>
    <w:rPr>
      <w:rFonts w:ascii="Tahoma" w:eastAsia="Times New Roman" w:hAnsi="Tahoma" w:cs="Tahoma"/>
      <w:color w:val="auto"/>
      <w:sz w:val="16"/>
      <w:szCs w:val="16"/>
    </w:rPr>
  </w:style>
  <w:style w:type="paragraph" w:styleId="Revision">
    <w:name w:val="Revision"/>
    <w:hidden/>
    <w:uiPriority w:val="99"/>
    <w:semiHidden/>
    <w:rsid w:val="007102BD"/>
    <w:rPr>
      <w:rFonts w:ascii="Times New Roman" w:eastAsia="Times New Roman" w:hAnsi="Times New Roman" w:cs="Times New Roman"/>
      <w:color w:val="auto"/>
      <w:sz w:val="24"/>
      <w:szCs w:val="24"/>
    </w:rPr>
  </w:style>
  <w:style w:type="paragraph" w:styleId="BodyText3">
    <w:name w:val="Body Text 3"/>
    <w:basedOn w:val="Normal"/>
    <w:link w:val="BodyText3Char"/>
    <w:rsid w:val="00816D94"/>
    <w:rPr>
      <w:rFonts w:ascii="Arial" w:hAnsi="Arial" w:cs="Arial"/>
      <w:sz w:val="22"/>
    </w:rPr>
  </w:style>
  <w:style w:type="character" w:customStyle="1" w:styleId="BodyText3Char">
    <w:name w:val="Body Text 3 Char"/>
    <w:basedOn w:val="DefaultParagraphFont"/>
    <w:link w:val="BodyText3"/>
    <w:rsid w:val="00816D94"/>
    <w:rPr>
      <w:rFonts w:eastAsia="Times New Roman" w:cs="Arial"/>
      <w:color w:val="auto"/>
      <w:sz w:val="22"/>
      <w:szCs w:val="24"/>
    </w:rPr>
  </w:style>
  <w:style w:type="paragraph" w:styleId="Header">
    <w:name w:val="header"/>
    <w:basedOn w:val="Normal"/>
    <w:link w:val="HeaderChar"/>
    <w:uiPriority w:val="99"/>
    <w:unhideWhenUsed/>
    <w:rsid w:val="00816D94"/>
    <w:pPr>
      <w:tabs>
        <w:tab w:val="center" w:pos="4513"/>
        <w:tab w:val="right" w:pos="9026"/>
      </w:tabs>
    </w:pPr>
  </w:style>
  <w:style w:type="character" w:customStyle="1" w:styleId="HeaderChar">
    <w:name w:val="Header Char"/>
    <w:basedOn w:val="DefaultParagraphFont"/>
    <w:link w:val="Header"/>
    <w:uiPriority w:val="99"/>
    <w:rsid w:val="00816D94"/>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816D94"/>
    <w:pPr>
      <w:tabs>
        <w:tab w:val="center" w:pos="4513"/>
        <w:tab w:val="right" w:pos="9026"/>
      </w:tabs>
    </w:pPr>
  </w:style>
  <w:style w:type="character" w:customStyle="1" w:styleId="FooterChar">
    <w:name w:val="Footer Char"/>
    <w:basedOn w:val="DefaultParagraphFont"/>
    <w:link w:val="Footer"/>
    <w:uiPriority w:val="99"/>
    <w:rsid w:val="00816D94"/>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5207"/>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rsid w:val="005972D8"/>
    <w:pPr>
      <w:keepNext/>
      <w:keepLines/>
      <w:spacing w:before="480"/>
      <w:outlineLvl w:val="0"/>
    </w:pPr>
    <w:rPr>
      <w:rFonts w:ascii="Arial" w:eastAsiaTheme="majorEastAsia" w:hAnsi="Arial" w:cstheme="majorBidi"/>
      <w:bCs/>
      <w:color w:val="000000" w:themeColor="text1"/>
      <w:sz w:val="36"/>
      <w:szCs w:val="28"/>
    </w:rPr>
  </w:style>
  <w:style w:type="paragraph" w:styleId="Heading2">
    <w:name w:val="heading 2"/>
    <w:basedOn w:val="Normal"/>
    <w:next w:val="Normal"/>
    <w:link w:val="Heading2Char"/>
    <w:uiPriority w:val="9"/>
    <w:unhideWhenUsed/>
    <w:qFormat/>
    <w:rsid w:val="005972D8"/>
    <w:pPr>
      <w:keepNext/>
      <w:keepLines/>
      <w:spacing w:before="200"/>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unhideWhenUsed/>
    <w:qFormat/>
    <w:rsid w:val="001373CA"/>
    <w:pPr>
      <w:keepNext/>
      <w:keepLines/>
      <w:spacing w:before="200"/>
      <w:outlineLvl w:val="2"/>
    </w:pPr>
    <w:rPr>
      <w:rFonts w:ascii="Arial" w:eastAsiaTheme="majorEastAsia" w:hAnsi="Arial" w:cstheme="majorBidi"/>
      <w:bCs/>
      <w:color w:val="000000" w:themeColor="text1"/>
      <w:sz w:val="20"/>
      <w:szCs w:val="20"/>
    </w:rPr>
  </w:style>
  <w:style w:type="paragraph" w:styleId="Heading6">
    <w:name w:val="heading 6"/>
    <w:basedOn w:val="Normal"/>
    <w:next w:val="Normal"/>
    <w:link w:val="Heading6Char"/>
    <w:semiHidden/>
    <w:unhideWhenUsed/>
    <w:qFormat/>
    <w:rsid w:val="00041B7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D8"/>
    <w:rPr>
      <w:rFonts w:eastAsiaTheme="majorEastAsia" w:cstheme="majorBidi"/>
      <w:bCs/>
      <w:color w:val="000000" w:themeColor="text1"/>
      <w:sz w:val="36"/>
      <w:szCs w:val="28"/>
    </w:rPr>
  </w:style>
  <w:style w:type="character" w:customStyle="1" w:styleId="Heading2Char">
    <w:name w:val="Heading 2 Char"/>
    <w:basedOn w:val="DefaultParagraphFont"/>
    <w:link w:val="Heading2"/>
    <w:uiPriority w:val="9"/>
    <w:rsid w:val="005972D8"/>
    <w:rPr>
      <w:rFonts w:eastAsiaTheme="majorEastAsia" w:cstheme="majorBidi"/>
      <w:b/>
      <w:bCs/>
      <w:color w:val="000000" w:themeColor="text1"/>
      <w:sz w:val="24"/>
      <w:szCs w:val="26"/>
    </w:rPr>
  </w:style>
  <w:style w:type="character" w:customStyle="1" w:styleId="Heading1GreenChar">
    <w:name w:val="Heading 1 Green Char"/>
    <w:basedOn w:val="DefaultParagraphFont"/>
    <w:link w:val="Heading1Green"/>
    <w:uiPriority w:val="9"/>
    <w:rsid w:val="003C75FD"/>
    <w:rPr>
      <w:color w:val="00AB4E"/>
      <w:sz w:val="36"/>
    </w:rPr>
  </w:style>
  <w:style w:type="paragraph" w:customStyle="1" w:styleId="Heading1Green">
    <w:name w:val="Heading 1 Green"/>
    <w:basedOn w:val="Normal"/>
    <w:next w:val="Normal"/>
    <w:link w:val="Heading1GreenChar"/>
    <w:uiPriority w:val="9"/>
    <w:qFormat/>
    <w:rsid w:val="005972D8"/>
    <w:rPr>
      <w:rFonts w:ascii="Arial" w:eastAsiaTheme="minorHAnsi" w:hAnsi="Arial" w:cstheme="minorBidi"/>
      <w:color w:val="00AB4E"/>
      <w:sz w:val="36"/>
      <w:szCs w:val="20"/>
    </w:rPr>
  </w:style>
  <w:style w:type="character" w:customStyle="1" w:styleId="Heading3Char">
    <w:name w:val="Heading 3 Char"/>
    <w:basedOn w:val="DefaultParagraphFont"/>
    <w:link w:val="Heading3"/>
    <w:uiPriority w:val="9"/>
    <w:rsid w:val="001373CA"/>
    <w:rPr>
      <w:rFonts w:eastAsiaTheme="majorEastAsia" w:cstheme="majorBidi"/>
      <w:bCs/>
    </w:rPr>
  </w:style>
  <w:style w:type="paragraph" w:styleId="Title">
    <w:name w:val="Title"/>
    <w:aliases w:val="Cover Page Title"/>
    <w:basedOn w:val="Normal"/>
    <w:next w:val="Normal"/>
    <w:link w:val="TitleChar"/>
    <w:uiPriority w:val="8"/>
    <w:qFormat/>
    <w:rsid w:val="005972D8"/>
    <w:rPr>
      <w:rFonts w:ascii="Arial" w:eastAsiaTheme="majorEastAsia" w:hAnsi="Arial" w:cstheme="majorBidi"/>
      <w:color w:val="000000" w:themeColor="text1"/>
      <w:spacing w:val="5"/>
      <w:kern w:val="28"/>
      <w:sz w:val="80"/>
      <w:szCs w:val="52"/>
    </w:rPr>
  </w:style>
  <w:style w:type="character" w:customStyle="1" w:styleId="TitleChar">
    <w:name w:val="Title Char"/>
    <w:aliases w:val="Cover Page Title Char"/>
    <w:basedOn w:val="DefaultParagraphFont"/>
    <w:link w:val="Title"/>
    <w:uiPriority w:val="8"/>
    <w:rsid w:val="003C75FD"/>
    <w:rPr>
      <w:rFonts w:eastAsiaTheme="majorEastAsia" w:cstheme="majorBidi"/>
      <w:spacing w:val="5"/>
      <w:kern w:val="28"/>
      <w:sz w:val="80"/>
      <w:szCs w:val="52"/>
    </w:rPr>
  </w:style>
  <w:style w:type="paragraph" w:customStyle="1" w:styleId="Footnotes">
    <w:name w:val="Footnotes"/>
    <w:basedOn w:val="Normal"/>
    <w:next w:val="Normal"/>
    <w:link w:val="FootnotesChar"/>
    <w:uiPriority w:val="10"/>
    <w:qFormat/>
    <w:rsid w:val="005972D8"/>
    <w:rPr>
      <w:rFonts w:ascii="Arial" w:eastAsiaTheme="minorHAnsi" w:hAnsi="Arial" w:cstheme="minorBidi"/>
      <w:color w:val="000000" w:themeColor="text1"/>
      <w:sz w:val="16"/>
      <w:szCs w:val="20"/>
    </w:rPr>
  </w:style>
  <w:style w:type="character" w:customStyle="1" w:styleId="FootnotesChar">
    <w:name w:val="Footnotes Char"/>
    <w:basedOn w:val="DefaultParagraphFont"/>
    <w:link w:val="Footnotes"/>
    <w:uiPriority w:val="10"/>
    <w:rsid w:val="003C75FD"/>
    <w:rPr>
      <w:sz w:val="16"/>
    </w:rPr>
  </w:style>
  <w:style w:type="paragraph" w:customStyle="1" w:styleId="HyperlinksEmailAddresses">
    <w:name w:val="Hyperlinks/Email Addresses"/>
    <w:basedOn w:val="Normal"/>
    <w:next w:val="Normal"/>
    <w:link w:val="HyperlinksEmailAddressesChar"/>
    <w:uiPriority w:val="1"/>
    <w:qFormat/>
    <w:rsid w:val="005972D8"/>
    <w:rPr>
      <w:rFonts w:ascii="Arial" w:eastAsiaTheme="minorHAnsi" w:hAnsi="Arial" w:cstheme="minorBidi"/>
      <w:b/>
      <w:color w:val="00AB4E"/>
      <w:sz w:val="20"/>
      <w:szCs w:val="20"/>
    </w:rPr>
  </w:style>
  <w:style w:type="character" w:customStyle="1" w:styleId="HyperlinksEmailAddressesChar">
    <w:name w:val="Hyperlinks/Email Addresses Char"/>
    <w:basedOn w:val="DefaultParagraphFont"/>
    <w:link w:val="HyperlinksEmailAddresses"/>
    <w:uiPriority w:val="1"/>
    <w:rsid w:val="003C75FD"/>
    <w:rPr>
      <w:b/>
      <w:color w:val="00AB4E"/>
    </w:rPr>
  </w:style>
  <w:style w:type="paragraph" w:styleId="ListParagraph">
    <w:name w:val="List Paragraph"/>
    <w:basedOn w:val="Normal"/>
    <w:uiPriority w:val="34"/>
    <w:qFormat/>
    <w:rsid w:val="00D60C71"/>
    <w:pPr>
      <w:ind w:left="720"/>
      <w:contextualSpacing/>
    </w:pPr>
    <w:rPr>
      <w:rFonts w:ascii="Arial" w:eastAsiaTheme="minorHAnsi" w:hAnsi="Arial" w:cstheme="minorBidi"/>
      <w:color w:val="000000" w:themeColor="text1"/>
      <w:sz w:val="20"/>
      <w:szCs w:val="20"/>
    </w:rPr>
  </w:style>
  <w:style w:type="numbering" w:customStyle="1" w:styleId="AATListStyle">
    <w:name w:val="AAT List Style"/>
    <w:uiPriority w:val="99"/>
    <w:rsid w:val="003A6DCC"/>
  </w:style>
  <w:style w:type="table" w:styleId="TableGrid">
    <w:name w:val="Table Grid"/>
    <w:basedOn w:val="TableNormal"/>
    <w:uiPriority w:val="5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FBFBF" w:themeFill="background1" w:themeFillShade="BF"/>
      </w:tcPr>
    </w:tblStylePr>
  </w:style>
  <w:style w:type="table" w:customStyle="1" w:styleId="AATTableStyle">
    <w:name w:val="AAT Table Style"/>
    <w:basedOn w:val="TableNormal"/>
    <w:uiPriority w:val="9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Pr/>
      <w:tcPr>
        <w:shd w:val="clear" w:color="auto" w:fill="BFBFBF" w:themeFill="background1" w:themeFillShade="BF"/>
      </w:tcPr>
    </w:tblStylePr>
  </w:style>
  <w:style w:type="character" w:customStyle="1" w:styleId="Heading6Char">
    <w:name w:val="Heading 6 Char"/>
    <w:basedOn w:val="DefaultParagraphFont"/>
    <w:link w:val="Heading6"/>
    <w:semiHidden/>
    <w:rsid w:val="00041B7F"/>
    <w:rPr>
      <w:rFonts w:ascii="Calibri" w:eastAsia="Times New Roman" w:hAnsi="Calibri" w:cs="Times New Roman"/>
      <w:b/>
      <w:bCs/>
      <w:color w:val="auto"/>
      <w:sz w:val="22"/>
      <w:szCs w:val="22"/>
    </w:rPr>
  </w:style>
  <w:style w:type="paragraph" w:styleId="NormalWeb">
    <w:name w:val="Normal (Web)"/>
    <w:basedOn w:val="Normal"/>
    <w:uiPriority w:val="99"/>
    <w:rsid w:val="00041B7F"/>
    <w:pPr>
      <w:spacing w:before="100" w:after="100"/>
    </w:pPr>
    <w:rPr>
      <w:kern w:val="1"/>
      <w:lang w:val="en-US" w:eastAsia="ar-SA"/>
    </w:rPr>
  </w:style>
  <w:style w:type="character" w:styleId="CommentReference">
    <w:name w:val="annotation reference"/>
    <w:basedOn w:val="DefaultParagraphFont"/>
    <w:uiPriority w:val="99"/>
    <w:semiHidden/>
    <w:unhideWhenUsed/>
    <w:rsid w:val="00063F8D"/>
    <w:rPr>
      <w:sz w:val="16"/>
      <w:szCs w:val="16"/>
    </w:rPr>
  </w:style>
  <w:style w:type="paragraph" w:styleId="CommentText">
    <w:name w:val="annotation text"/>
    <w:basedOn w:val="Normal"/>
    <w:link w:val="CommentTextChar"/>
    <w:uiPriority w:val="99"/>
    <w:semiHidden/>
    <w:unhideWhenUsed/>
    <w:rsid w:val="00063F8D"/>
    <w:rPr>
      <w:sz w:val="20"/>
      <w:szCs w:val="20"/>
    </w:rPr>
  </w:style>
  <w:style w:type="character" w:customStyle="1" w:styleId="CommentTextChar">
    <w:name w:val="Comment Text Char"/>
    <w:basedOn w:val="DefaultParagraphFont"/>
    <w:link w:val="CommentText"/>
    <w:uiPriority w:val="99"/>
    <w:semiHidden/>
    <w:rsid w:val="00063F8D"/>
    <w:rPr>
      <w:rFonts w:ascii="Times New Roman" w:eastAsia="Times New Roman" w:hAnsi="Times New Roman" w:cs="Times New Roman"/>
      <w:color w:val="auto"/>
    </w:rPr>
  </w:style>
  <w:style w:type="paragraph" w:styleId="CommentSubject">
    <w:name w:val="annotation subject"/>
    <w:basedOn w:val="CommentText"/>
    <w:next w:val="CommentText"/>
    <w:link w:val="CommentSubjectChar"/>
    <w:uiPriority w:val="99"/>
    <w:semiHidden/>
    <w:unhideWhenUsed/>
    <w:rsid w:val="00063F8D"/>
    <w:rPr>
      <w:b/>
      <w:bCs/>
    </w:rPr>
  </w:style>
  <w:style w:type="character" w:customStyle="1" w:styleId="CommentSubjectChar">
    <w:name w:val="Comment Subject Char"/>
    <w:basedOn w:val="CommentTextChar"/>
    <w:link w:val="CommentSubject"/>
    <w:uiPriority w:val="99"/>
    <w:semiHidden/>
    <w:rsid w:val="00063F8D"/>
    <w:rPr>
      <w:rFonts w:ascii="Times New Roman" w:eastAsia="Times New Roman" w:hAnsi="Times New Roman" w:cs="Times New Roman"/>
      <w:b/>
      <w:bCs/>
      <w:color w:val="auto"/>
    </w:rPr>
  </w:style>
  <w:style w:type="paragraph" w:styleId="BalloonText">
    <w:name w:val="Balloon Text"/>
    <w:basedOn w:val="Normal"/>
    <w:link w:val="BalloonTextChar"/>
    <w:uiPriority w:val="99"/>
    <w:semiHidden/>
    <w:unhideWhenUsed/>
    <w:rsid w:val="00063F8D"/>
    <w:rPr>
      <w:rFonts w:ascii="Tahoma" w:hAnsi="Tahoma" w:cs="Tahoma"/>
      <w:sz w:val="16"/>
      <w:szCs w:val="16"/>
    </w:rPr>
  </w:style>
  <w:style w:type="character" w:customStyle="1" w:styleId="BalloonTextChar">
    <w:name w:val="Balloon Text Char"/>
    <w:basedOn w:val="DefaultParagraphFont"/>
    <w:link w:val="BalloonText"/>
    <w:uiPriority w:val="99"/>
    <w:semiHidden/>
    <w:rsid w:val="00063F8D"/>
    <w:rPr>
      <w:rFonts w:ascii="Tahoma" w:eastAsia="Times New Roman" w:hAnsi="Tahoma" w:cs="Tahoma"/>
      <w:color w:val="auto"/>
      <w:sz w:val="16"/>
      <w:szCs w:val="16"/>
    </w:rPr>
  </w:style>
  <w:style w:type="paragraph" w:styleId="Revision">
    <w:name w:val="Revision"/>
    <w:hidden/>
    <w:uiPriority w:val="99"/>
    <w:semiHidden/>
    <w:rsid w:val="007102BD"/>
    <w:rPr>
      <w:rFonts w:ascii="Times New Roman" w:eastAsia="Times New Roman" w:hAnsi="Times New Roman" w:cs="Times New Roman"/>
      <w:color w:val="auto"/>
      <w:sz w:val="24"/>
      <w:szCs w:val="24"/>
    </w:rPr>
  </w:style>
  <w:style w:type="paragraph" w:styleId="BodyText3">
    <w:name w:val="Body Text 3"/>
    <w:basedOn w:val="Normal"/>
    <w:link w:val="BodyText3Char"/>
    <w:rsid w:val="00816D94"/>
    <w:rPr>
      <w:rFonts w:ascii="Arial" w:hAnsi="Arial" w:cs="Arial"/>
      <w:sz w:val="22"/>
    </w:rPr>
  </w:style>
  <w:style w:type="character" w:customStyle="1" w:styleId="BodyText3Char">
    <w:name w:val="Body Text 3 Char"/>
    <w:basedOn w:val="DefaultParagraphFont"/>
    <w:link w:val="BodyText3"/>
    <w:rsid w:val="00816D94"/>
    <w:rPr>
      <w:rFonts w:eastAsia="Times New Roman" w:cs="Arial"/>
      <w:color w:val="auto"/>
      <w:sz w:val="22"/>
      <w:szCs w:val="24"/>
    </w:rPr>
  </w:style>
  <w:style w:type="paragraph" w:styleId="Header">
    <w:name w:val="header"/>
    <w:basedOn w:val="Normal"/>
    <w:link w:val="HeaderChar"/>
    <w:uiPriority w:val="99"/>
    <w:unhideWhenUsed/>
    <w:rsid w:val="00816D94"/>
    <w:pPr>
      <w:tabs>
        <w:tab w:val="center" w:pos="4513"/>
        <w:tab w:val="right" w:pos="9026"/>
      </w:tabs>
    </w:pPr>
  </w:style>
  <w:style w:type="character" w:customStyle="1" w:styleId="HeaderChar">
    <w:name w:val="Header Char"/>
    <w:basedOn w:val="DefaultParagraphFont"/>
    <w:link w:val="Header"/>
    <w:uiPriority w:val="99"/>
    <w:rsid w:val="00816D94"/>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816D94"/>
    <w:pPr>
      <w:tabs>
        <w:tab w:val="center" w:pos="4513"/>
        <w:tab w:val="right" w:pos="9026"/>
      </w:tabs>
    </w:pPr>
  </w:style>
  <w:style w:type="character" w:customStyle="1" w:styleId="FooterChar">
    <w:name w:val="Footer Char"/>
    <w:basedOn w:val="DefaultParagraphFont"/>
    <w:link w:val="Footer"/>
    <w:uiPriority w:val="99"/>
    <w:rsid w:val="00816D94"/>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76A9-30C9-4FA8-8319-DCF48722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F48037B4</Template>
  <TotalTime>303</TotalTime>
  <Pages>27</Pages>
  <Words>4821</Words>
  <Characters>25364</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Bowen</dc:creator>
  <cp:lastModifiedBy>Hazel Cochrane</cp:lastModifiedBy>
  <cp:revision>94</cp:revision>
  <dcterms:created xsi:type="dcterms:W3CDTF">2016-05-25T13:33:00Z</dcterms:created>
  <dcterms:modified xsi:type="dcterms:W3CDTF">2016-06-28T16:43:00Z</dcterms:modified>
</cp:coreProperties>
</file>